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widowControl w:val="0"/>
        <w:numPr>
          <w:ilvl w:val="0"/>
          <w:numId w:val="0"/>
        </w:numPr>
        <w:tabs>
          <w:tab w:val="left" w:pos="1100"/>
          <w:tab w:val="center" w:pos="4501"/>
        </w:tabs>
        <w:adjustRightInd w:val="0"/>
        <w:snapToGrid w:val="0"/>
        <w:spacing w:before="0" w:after="0" w:line="276" w:lineRule="auto"/>
        <w:ind w:left="463" w:hanging="463" w:hangingChars="89"/>
        <w:contextualSpacing/>
        <w:jc w:val="center"/>
        <w:rPr>
          <w:rFonts w:ascii="李旭科书法 v1.4" w:hAnsi="黑体" w:eastAsia="李旭科书法 v1.4"/>
          <w:color w:val="C00000"/>
          <w:sz w:val="52"/>
          <w:szCs w:val="52"/>
        </w:rPr>
      </w:pPr>
      <w:r>
        <w:rPr>
          <w:rFonts w:hint="eastAsia" w:ascii="李旭科书法 v1.4" w:hAnsi="黑体" w:eastAsia="李旭科书法 v1.4"/>
          <w:color w:val="C00000"/>
          <w:sz w:val="52"/>
          <w:szCs w:val="52"/>
        </w:rPr>
        <w:t>“宇你未来，精彩视界”</w:t>
      </w:r>
    </w:p>
    <w:p>
      <w:pPr>
        <w:pStyle w:val="2"/>
        <w:keepNext w:val="0"/>
        <w:widowControl w:val="0"/>
        <w:numPr>
          <w:ilvl w:val="0"/>
          <w:numId w:val="0"/>
        </w:numPr>
        <w:adjustRightInd w:val="0"/>
        <w:snapToGrid w:val="0"/>
        <w:spacing w:before="0" w:afterLines="50" w:line="276" w:lineRule="auto"/>
        <w:contextualSpacing/>
        <w:jc w:val="right"/>
        <w:rPr>
          <w:rFonts w:ascii="黑体" w:hAnsi="黑体" w:cs="宋体"/>
          <w:b w:val="0"/>
          <w:sz w:val="24"/>
          <w:szCs w:val="24"/>
        </w:rPr>
      </w:pPr>
      <w:r>
        <w:rPr>
          <w:rFonts w:hint="eastAsia" w:ascii="黑体" w:hAnsi="黑体" w:cs="宋体"/>
          <w:b w:val="0"/>
          <w:color w:val="C00000"/>
          <w:sz w:val="36"/>
          <w:szCs w:val="21"/>
        </w:rPr>
        <w:t xml:space="preserve">           </w:t>
      </w:r>
      <w:r>
        <w:rPr>
          <w:rFonts w:hint="eastAsia" w:ascii="黑体" w:hAnsi="黑体" w:cs="宋体"/>
          <w:b w:val="0"/>
          <w:color w:val="C00000"/>
          <w:sz w:val="28"/>
          <w:szCs w:val="21"/>
        </w:rPr>
        <w:t xml:space="preserve">   </w:t>
      </w:r>
      <w:r>
        <w:rPr>
          <w:rFonts w:hint="eastAsia" w:ascii="黑体" w:hAnsi="黑体" w:cs="宋体"/>
          <w:b w:val="0"/>
          <w:color w:val="C00000"/>
          <w:sz w:val="24"/>
          <w:szCs w:val="24"/>
        </w:rPr>
        <w:t xml:space="preserve"> </w:t>
      </w:r>
      <w:r>
        <w:rPr>
          <w:rFonts w:hint="eastAsia" w:ascii="黑体" w:hAnsi="黑体" w:cs="宋体"/>
          <w:b w:val="0"/>
          <w:sz w:val="24"/>
          <w:szCs w:val="24"/>
        </w:rPr>
        <w:t>——宇视科技2018届校园招聘</w:t>
      </w:r>
    </w:p>
    <w:p>
      <w:pPr>
        <w:adjustRightInd w:val="0"/>
        <w:snapToGrid w:val="0"/>
        <w:jc w:val="center"/>
        <w:rPr>
          <w:rFonts w:ascii="微软雅黑" w:hAnsi="微软雅黑" w:eastAsia="微软雅黑" w:cs="宋体"/>
          <w:color w:val="C00000"/>
        </w:rPr>
      </w:pPr>
      <w:r>
        <w:rPr>
          <w:rFonts w:hint="eastAsia" w:ascii="微软雅黑" w:hAnsi="微软雅黑" w:eastAsia="微软雅黑" w:cs="宋体"/>
          <w:color w:val="C00000"/>
        </w:rPr>
        <w:t>创业五年</w:t>
      </w:r>
    </w:p>
    <w:p>
      <w:pPr>
        <w:adjustRightInd w:val="0"/>
        <w:snapToGrid w:val="0"/>
        <w:jc w:val="center"/>
        <w:rPr>
          <w:rFonts w:ascii="微软雅黑" w:hAnsi="微软雅黑" w:eastAsia="微软雅黑" w:cs="宋体"/>
          <w:color w:val="C00000"/>
        </w:rPr>
      </w:pPr>
      <w:r>
        <w:rPr>
          <w:rFonts w:hint="eastAsia" w:ascii="微软雅黑" w:hAnsi="微软雅黑" w:eastAsia="微软雅黑" w:cs="宋体"/>
          <w:color w:val="C00000"/>
        </w:rPr>
        <w:t>实现人员规模4倍增长、收入7倍增长</w:t>
      </w:r>
    </w:p>
    <w:p>
      <w:pPr>
        <w:adjustRightInd w:val="0"/>
        <w:snapToGrid w:val="0"/>
        <w:jc w:val="center"/>
        <w:rPr>
          <w:rFonts w:ascii="微软雅黑" w:hAnsi="微软雅黑" w:eastAsia="微软雅黑" w:cs="宋体"/>
          <w:color w:val="C00000"/>
        </w:rPr>
      </w:pPr>
      <w:r>
        <w:rPr>
          <w:rFonts w:hint="eastAsia" w:ascii="微软雅黑" w:hAnsi="微软雅黑" w:eastAsia="微软雅黑" w:cs="宋体"/>
          <w:color w:val="C00000"/>
        </w:rPr>
        <w:t>已成功交付全球120个国家和地区的视频监控项目</w:t>
      </w:r>
    </w:p>
    <w:p>
      <w:pPr>
        <w:adjustRightInd w:val="0"/>
        <w:snapToGrid w:val="0"/>
        <w:jc w:val="center"/>
        <w:rPr>
          <w:rFonts w:ascii="微软雅黑" w:hAnsi="微软雅黑" w:eastAsia="微软雅黑" w:cs="宋体"/>
          <w:b/>
          <w:color w:val="C00000"/>
        </w:rPr>
      </w:pPr>
      <w:r>
        <w:rPr>
          <w:rFonts w:hint="eastAsia" w:ascii="微软雅黑" w:hAnsi="微软雅黑" w:eastAsia="微软雅黑" w:cs="宋体"/>
          <w:color w:val="C00000"/>
        </w:rPr>
        <w:t>跻身全球市场</w:t>
      </w:r>
      <w:r>
        <w:rPr>
          <w:rFonts w:hint="eastAsia" w:ascii="微软雅黑" w:hAnsi="微软雅黑" w:eastAsia="微软雅黑" w:cs="宋体"/>
          <w:b/>
          <w:color w:val="C00000"/>
        </w:rPr>
        <w:t>TOP 7</w:t>
      </w:r>
    </w:p>
    <w:p>
      <w:pPr>
        <w:adjustRightInd w:val="0"/>
        <w:snapToGrid w:val="0"/>
        <w:jc w:val="center"/>
        <w:rPr>
          <w:rFonts w:ascii="微软雅黑" w:hAnsi="微软雅黑" w:eastAsia="微软雅黑" w:cs="宋体"/>
          <w:b/>
          <w:color w:val="C00000"/>
        </w:rPr>
      </w:pPr>
      <w:r>
        <w:rPr>
          <w:rFonts w:hint="eastAsia" w:ascii="微软雅黑" w:hAnsi="微软雅黑" w:eastAsia="微软雅黑" w:cs="宋体"/>
          <w:color w:val="C00000"/>
        </w:rPr>
        <w:t>中国视频监控领域</w:t>
      </w:r>
      <w:r>
        <w:rPr>
          <w:rFonts w:hint="eastAsia" w:ascii="微软雅黑" w:hAnsi="微软雅黑" w:eastAsia="微软雅黑" w:cs="宋体"/>
          <w:b/>
          <w:color w:val="C00000"/>
        </w:rPr>
        <w:t>TOP 3</w:t>
      </w:r>
    </w:p>
    <w:p>
      <w:pPr>
        <w:adjustRightInd w:val="0"/>
        <w:snapToGrid w:val="0"/>
        <w:jc w:val="center"/>
        <w:rPr>
          <w:rFonts w:ascii="微软雅黑" w:hAnsi="微软雅黑" w:eastAsia="微软雅黑" w:cs="宋体"/>
          <w:color w:val="C00000"/>
        </w:rPr>
      </w:pPr>
      <w:r>
        <w:rPr>
          <w:rFonts w:hint="eastAsia" w:ascii="微软雅黑" w:hAnsi="微软雅黑" w:eastAsia="微软雅黑" w:cs="宋体"/>
          <w:color w:val="C00000"/>
        </w:rPr>
        <w:t>行业最高荣誉：国家科技进步二等奖</w:t>
      </w:r>
    </w:p>
    <w:p>
      <w:pPr>
        <w:adjustRightInd w:val="0"/>
        <w:snapToGrid w:val="0"/>
        <w:jc w:val="center"/>
        <w:rPr>
          <w:rFonts w:ascii="微软雅黑" w:hAnsi="微软雅黑" w:eastAsia="微软雅黑" w:cs="宋体"/>
          <w:color w:val="C00000"/>
        </w:rPr>
      </w:pPr>
      <w:r>
        <w:rPr>
          <w:rFonts w:hint="eastAsia" w:ascii="微软雅黑" w:hAnsi="微软雅黑" w:eastAsia="微软雅黑" w:cs="宋体"/>
          <w:color w:val="C00000"/>
        </w:rPr>
        <w:t>三夺德国</w:t>
      </w:r>
      <w:r>
        <w:rPr>
          <w:rFonts w:hint="eastAsia" w:ascii="微软雅黑" w:hAnsi="微软雅黑" w:eastAsia="微软雅黑" w:cs="宋体"/>
          <w:color w:val="C00000"/>
          <w:sz w:val="24"/>
        </w:rPr>
        <w:t>iF</w:t>
      </w:r>
      <w:r>
        <w:rPr>
          <w:rFonts w:hint="eastAsia" w:ascii="微软雅黑" w:hAnsi="微软雅黑" w:eastAsia="微软雅黑" w:cs="宋体"/>
          <w:color w:val="C00000"/>
        </w:rPr>
        <w:t>大奖：国际工业设计“奥斯卡”</w:t>
      </w:r>
    </w:p>
    <w:p>
      <w:pPr>
        <w:adjustRightInd w:val="0"/>
        <w:snapToGrid w:val="0"/>
        <w:jc w:val="center"/>
        <w:rPr>
          <w:rFonts w:ascii="微软雅黑" w:hAnsi="微软雅黑" w:eastAsia="微软雅黑" w:cs="宋体"/>
          <w:color w:val="C00000"/>
        </w:rPr>
      </w:pPr>
      <w:r>
        <w:rPr>
          <w:rFonts w:hint="eastAsia" w:ascii="微软雅黑" w:hAnsi="微软雅黑" w:eastAsia="微软雅黑" w:cs="宋体"/>
          <w:color w:val="C00000"/>
        </w:rPr>
        <w:t>计算机视觉算法KITTI测评全球第一</w:t>
      </w:r>
    </w:p>
    <w:p>
      <w:pPr>
        <w:adjustRightInd w:val="0"/>
        <w:snapToGrid w:val="0"/>
        <w:jc w:val="center"/>
        <w:rPr>
          <w:rFonts w:ascii="微软雅黑" w:hAnsi="微软雅黑" w:eastAsia="微软雅黑" w:cs="宋体"/>
          <w:color w:val="C00000"/>
        </w:rPr>
      </w:pPr>
      <w:r>
        <w:rPr>
          <w:rFonts w:hint="eastAsia" w:ascii="微软雅黑" w:hAnsi="微软雅黑" w:eastAsia="微软雅黑" w:cs="宋体"/>
          <w:color w:val="C00000"/>
        </w:rPr>
        <w:t>全国范围网申，30所高校宣讲火力全开</w:t>
      </w:r>
    </w:p>
    <w:p>
      <w:pPr>
        <w:adjustRightInd w:val="0"/>
        <w:snapToGrid w:val="0"/>
        <w:jc w:val="center"/>
        <w:rPr>
          <w:rFonts w:ascii="微软雅黑" w:hAnsi="微软雅黑" w:eastAsia="微软雅黑" w:cs="宋体"/>
          <w:color w:val="C00000"/>
        </w:rPr>
      </w:pPr>
      <w:r>
        <w:rPr>
          <w:rFonts w:hint="eastAsia" w:ascii="微软雅黑" w:hAnsi="微软雅黑" w:eastAsia="微软雅黑" w:cs="宋体"/>
          <w:color w:val="C00000"/>
        </w:rPr>
        <w:t>招募海内外优秀应届学子</w:t>
      </w:r>
    </w:p>
    <w:p>
      <w:pPr>
        <w:adjustRightInd w:val="0"/>
        <w:snapToGrid w:val="0"/>
        <w:spacing w:beforeLines="100" w:line="276" w:lineRule="auto"/>
        <w:contextualSpacing/>
        <w:rPr>
          <w:rFonts w:ascii="黑体" w:hAnsi="黑体" w:eastAsia="黑体" w:cs="宋体"/>
          <w:b/>
          <w:color w:val="C00000"/>
          <w:kern w:val="0"/>
          <w:sz w:val="24"/>
          <w:szCs w:val="21"/>
        </w:rPr>
      </w:pPr>
      <w:r>
        <w:rPr>
          <w:rFonts w:hint="eastAsia" w:ascii="黑体" w:hAnsi="黑体" w:eastAsia="黑体" w:cs="宋体"/>
          <w:b/>
          <w:color w:val="C00000"/>
          <w:kern w:val="0"/>
          <w:sz w:val="24"/>
          <w:szCs w:val="21"/>
        </w:rPr>
        <w:t>一、公司简介</w:t>
      </w:r>
    </w:p>
    <w:p>
      <w:pPr>
        <w:adjustRightInd w:val="0"/>
        <w:snapToGrid w:val="0"/>
        <w:spacing w:line="276" w:lineRule="auto"/>
        <w:ind w:firstLine="420" w:firstLineChars="200"/>
        <w:contextualSpacing/>
        <w:rPr>
          <w:rFonts w:ascii="黑体" w:hAnsi="黑体" w:eastAsia="黑体"/>
          <w:szCs w:val="21"/>
        </w:rPr>
      </w:pPr>
      <w:r>
        <w:rPr>
          <w:rFonts w:hint="eastAsia" w:ascii="黑体" w:hAnsi="黑体" w:eastAsia="黑体"/>
          <w:szCs w:val="21"/>
        </w:rPr>
        <w:t>宇视科技成立于2011年12月，为中国高端视频监控市场的第二大参与者及整个视频监控市场的第三大参与者；2016年，宇视进入全球市场前7位（IHS数据），快速行进在通往全球视频监控领域领导者的路上。</w:t>
      </w:r>
    </w:p>
    <w:p>
      <w:pPr>
        <w:adjustRightInd w:val="0"/>
        <w:snapToGrid w:val="0"/>
        <w:spacing w:line="276" w:lineRule="auto"/>
        <w:ind w:firstLine="420" w:firstLineChars="200"/>
        <w:contextualSpacing/>
        <w:rPr>
          <w:rFonts w:ascii="黑体" w:hAnsi="黑体" w:eastAsia="黑体"/>
          <w:szCs w:val="21"/>
        </w:rPr>
      </w:pPr>
      <w:r>
        <w:rPr>
          <w:rFonts w:hint="eastAsia" w:ascii="黑体" w:hAnsi="黑体" w:eastAsia="黑体"/>
          <w:szCs w:val="21"/>
        </w:rPr>
        <w:t>宇视研发人员占总人数50%，在中国的杭州、深圳、西安、济南设有研发机构。截至2016年底，宇视专利申请总数1261件，发明专利占比83%（实用新型专利9%，外观专利8%），每天新增1件发明专利申请，涵盖了光机电、图像处理、机器视觉、大数据、云存储等各个维度，我们每年将营收的15%投入研发，为可持续发展提供有力支撑。</w:t>
      </w:r>
    </w:p>
    <w:p>
      <w:pPr>
        <w:adjustRightInd w:val="0"/>
        <w:snapToGrid w:val="0"/>
        <w:spacing w:line="276" w:lineRule="auto"/>
        <w:ind w:firstLine="420" w:firstLineChars="200"/>
        <w:contextualSpacing/>
        <w:rPr>
          <w:rFonts w:ascii="黑体" w:hAnsi="黑体" w:eastAsia="黑体"/>
          <w:szCs w:val="21"/>
        </w:rPr>
      </w:pPr>
      <w:r>
        <w:rPr>
          <w:rFonts w:hint="eastAsia" w:ascii="黑体" w:hAnsi="黑体" w:eastAsia="黑体"/>
          <w:szCs w:val="21"/>
        </w:rPr>
        <w:t>宇视践行“精工之路”，品质为本、创新为魂，拥有端到端全系列自主知识产权的IP视频监控产品，包括IP摄像机、卡口电警、视频编解码器、NVR、监控网络、监控存储、监控平台、大屏，以及分销和SMB（中小商业客户）等产品，并面向不同行业提供解决方案。宇视已在中国30个省/市设立了办事机构，全球合作伙伴覆盖105个国家和地区，为客户提供近距离高品质的服务，为合作伙伴提供高效优质的支持。</w:t>
      </w:r>
    </w:p>
    <w:p>
      <w:pPr>
        <w:adjustRightInd w:val="0"/>
        <w:snapToGrid w:val="0"/>
        <w:spacing w:line="276" w:lineRule="auto"/>
        <w:ind w:firstLine="420" w:firstLineChars="200"/>
        <w:contextualSpacing/>
        <w:rPr>
          <w:rFonts w:ascii="黑体" w:hAnsi="黑体" w:eastAsia="黑体"/>
          <w:szCs w:val="21"/>
        </w:rPr>
      </w:pPr>
      <w:r>
        <w:rPr>
          <w:rFonts w:hint="eastAsia" w:ascii="黑体" w:hAnsi="黑体" w:eastAsia="黑体"/>
          <w:szCs w:val="21"/>
        </w:rPr>
        <w:t>“客户导向、简单公正、合作创新、持续改进”是宇视科技的核心文化。为支持公司业务发展，宇视正面向2018届学子进行海内外的大规模校招，期待更多敢想敢做、敢闯敢拼的年轻人与我们共创未来，看精彩世界！</w:t>
      </w:r>
    </w:p>
    <w:p>
      <w:pPr>
        <w:adjustRightInd w:val="0"/>
        <w:snapToGrid w:val="0"/>
        <w:spacing w:line="276" w:lineRule="auto"/>
        <w:contextualSpacing/>
        <w:rPr>
          <w:rFonts w:ascii="黑体" w:hAnsi="黑体" w:eastAsia="黑体" w:cs="宋体"/>
          <w:b/>
          <w:color w:val="C00000"/>
          <w:kern w:val="0"/>
          <w:sz w:val="24"/>
          <w:szCs w:val="21"/>
        </w:rPr>
      </w:pPr>
    </w:p>
    <w:p>
      <w:pPr>
        <w:adjustRightInd w:val="0"/>
        <w:snapToGrid w:val="0"/>
        <w:spacing w:line="276" w:lineRule="auto"/>
        <w:contextualSpacing/>
        <w:rPr>
          <w:rFonts w:ascii="黑体" w:hAnsi="黑体" w:eastAsia="黑体" w:cs="宋体"/>
          <w:b/>
          <w:color w:val="C00000"/>
          <w:kern w:val="0"/>
          <w:sz w:val="24"/>
          <w:szCs w:val="21"/>
        </w:rPr>
      </w:pPr>
      <w:r>
        <w:rPr>
          <w:rFonts w:hint="eastAsia" w:ascii="黑体" w:hAnsi="黑体" w:eastAsia="黑体" w:cs="宋体"/>
          <w:b/>
          <w:color w:val="C00000"/>
          <w:kern w:val="0"/>
          <w:sz w:val="24"/>
          <w:szCs w:val="21"/>
        </w:rPr>
        <w:t>二、宣讲行程</w:t>
      </w:r>
    </w:p>
    <w:tbl>
      <w:tblPr>
        <w:tblStyle w:val="13"/>
        <w:tblW w:w="9523" w:type="dxa"/>
        <w:tblInd w:w="0" w:type="dxa"/>
        <w:tblLayout w:type="fixed"/>
        <w:tblCellMar>
          <w:top w:w="15" w:type="dxa"/>
          <w:left w:w="15" w:type="dxa"/>
          <w:bottom w:w="15" w:type="dxa"/>
          <w:right w:w="15" w:type="dxa"/>
        </w:tblCellMar>
      </w:tblPr>
      <w:tblGrid>
        <w:gridCol w:w="1291"/>
        <w:gridCol w:w="1276"/>
        <w:gridCol w:w="1984"/>
        <w:gridCol w:w="1701"/>
        <w:gridCol w:w="3271"/>
      </w:tblGrid>
      <w:tr>
        <w:tblPrEx>
          <w:tblLayout w:type="fixed"/>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C00000"/>
            <w:vAlign w:val="center"/>
          </w:tcPr>
          <w:p>
            <w:pPr>
              <w:widowControl/>
              <w:spacing w:line="276" w:lineRule="auto"/>
              <w:jc w:val="center"/>
              <w:textAlignment w:val="center"/>
              <w:rPr>
                <w:rFonts w:ascii="黑体" w:hAnsi="宋体" w:eastAsia="黑体" w:cs="黑体"/>
                <w:b/>
                <w:color w:val="FFFFFF"/>
                <w:szCs w:val="21"/>
              </w:rPr>
            </w:pPr>
            <w:r>
              <w:rPr>
                <w:rFonts w:hint="eastAsia" w:ascii="黑体" w:hAnsi="宋体" w:eastAsia="黑体" w:cs="黑体"/>
                <w:b/>
                <w:color w:val="FFFFFF"/>
                <w:kern w:val="0"/>
                <w:szCs w:val="21"/>
              </w:rPr>
              <w:t>日期</w:t>
            </w:r>
          </w:p>
        </w:tc>
        <w:tc>
          <w:tcPr>
            <w:tcW w:w="1276" w:type="dxa"/>
            <w:tcBorders>
              <w:top w:val="single" w:color="000000" w:sz="4" w:space="0"/>
              <w:left w:val="single" w:color="000000" w:sz="4" w:space="0"/>
              <w:bottom w:val="single" w:color="000000" w:sz="4" w:space="0"/>
              <w:right w:val="single" w:color="000000" w:sz="4" w:space="0"/>
            </w:tcBorders>
            <w:shd w:val="clear" w:color="auto" w:fill="C00000"/>
            <w:vAlign w:val="center"/>
          </w:tcPr>
          <w:p>
            <w:pPr>
              <w:widowControl/>
              <w:spacing w:line="276" w:lineRule="auto"/>
              <w:jc w:val="center"/>
              <w:textAlignment w:val="center"/>
              <w:rPr>
                <w:rFonts w:ascii="黑体" w:hAnsi="宋体" w:eastAsia="黑体" w:cs="黑体"/>
                <w:b/>
                <w:color w:val="FFFFFF"/>
                <w:szCs w:val="21"/>
              </w:rPr>
            </w:pPr>
            <w:r>
              <w:rPr>
                <w:rFonts w:hint="eastAsia" w:ascii="黑体" w:hAnsi="宋体" w:eastAsia="黑体" w:cs="黑体"/>
                <w:b/>
                <w:color w:val="FFFFFF"/>
                <w:kern w:val="0"/>
                <w:szCs w:val="21"/>
              </w:rPr>
              <w:t>星期</w:t>
            </w:r>
          </w:p>
        </w:tc>
        <w:tc>
          <w:tcPr>
            <w:tcW w:w="1984" w:type="dxa"/>
            <w:tcBorders>
              <w:top w:val="single" w:color="000000" w:sz="4" w:space="0"/>
              <w:left w:val="single" w:color="000000" w:sz="4" w:space="0"/>
              <w:bottom w:val="single" w:color="000000" w:sz="4" w:space="0"/>
              <w:right w:val="single" w:color="000000" w:sz="4" w:space="0"/>
            </w:tcBorders>
            <w:shd w:val="clear" w:color="auto" w:fill="C00000"/>
            <w:vAlign w:val="center"/>
          </w:tcPr>
          <w:p>
            <w:pPr>
              <w:widowControl/>
              <w:spacing w:line="276" w:lineRule="auto"/>
              <w:jc w:val="center"/>
              <w:textAlignment w:val="center"/>
              <w:rPr>
                <w:rFonts w:ascii="黑体" w:hAnsi="宋体" w:eastAsia="黑体" w:cs="黑体"/>
                <w:b/>
                <w:color w:val="FFFFFF"/>
                <w:szCs w:val="21"/>
              </w:rPr>
            </w:pPr>
            <w:r>
              <w:rPr>
                <w:rFonts w:hint="eastAsia" w:ascii="黑体" w:hAnsi="宋体" w:eastAsia="黑体" w:cs="黑体"/>
                <w:b/>
                <w:color w:val="FFFFFF"/>
                <w:kern w:val="0"/>
                <w:szCs w:val="21"/>
              </w:rPr>
              <w:t>时间</w:t>
            </w:r>
          </w:p>
        </w:tc>
        <w:tc>
          <w:tcPr>
            <w:tcW w:w="1701" w:type="dxa"/>
            <w:tcBorders>
              <w:top w:val="single" w:color="000000" w:sz="4" w:space="0"/>
              <w:left w:val="single" w:color="000000" w:sz="4" w:space="0"/>
              <w:bottom w:val="single" w:color="000000" w:sz="4" w:space="0"/>
              <w:right w:val="single" w:color="000000" w:sz="4" w:space="0"/>
            </w:tcBorders>
            <w:shd w:val="clear" w:color="auto" w:fill="C00000"/>
            <w:vAlign w:val="center"/>
          </w:tcPr>
          <w:p>
            <w:pPr>
              <w:widowControl/>
              <w:spacing w:line="276" w:lineRule="auto"/>
              <w:jc w:val="center"/>
              <w:textAlignment w:val="center"/>
              <w:rPr>
                <w:rFonts w:ascii="黑体" w:hAnsi="宋体" w:eastAsia="黑体" w:cs="黑体"/>
                <w:b/>
                <w:color w:val="FFFFFF"/>
                <w:szCs w:val="21"/>
              </w:rPr>
            </w:pPr>
            <w:r>
              <w:rPr>
                <w:rFonts w:hint="eastAsia" w:ascii="黑体" w:hAnsi="宋体" w:eastAsia="黑体" w:cs="黑体"/>
                <w:b/>
                <w:color w:val="FFFFFF"/>
                <w:kern w:val="0"/>
                <w:szCs w:val="21"/>
              </w:rPr>
              <w:t>学校</w:t>
            </w:r>
          </w:p>
        </w:tc>
        <w:tc>
          <w:tcPr>
            <w:tcW w:w="3271" w:type="dxa"/>
            <w:tcBorders>
              <w:top w:val="single" w:color="000000" w:sz="4" w:space="0"/>
              <w:left w:val="single" w:color="000000" w:sz="4" w:space="0"/>
              <w:bottom w:val="single" w:color="000000" w:sz="4" w:space="0"/>
              <w:right w:val="single" w:color="000000" w:sz="4" w:space="0"/>
            </w:tcBorders>
            <w:shd w:val="clear" w:color="auto" w:fill="C00000"/>
            <w:vAlign w:val="center"/>
          </w:tcPr>
          <w:p>
            <w:pPr>
              <w:widowControl/>
              <w:spacing w:line="276" w:lineRule="auto"/>
              <w:jc w:val="center"/>
              <w:textAlignment w:val="center"/>
              <w:rPr>
                <w:rFonts w:ascii="黑体" w:hAnsi="宋体" w:eastAsia="黑体" w:cs="黑体"/>
                <w:b/>
                <w:color w:val="FFFFFF"/>
                <w:szCs w:val="21"/>
              </w:rPr>
            </w:pPr>
            <w:r>
              <w:rPr>
                <w:rFonts w:hint="eastAsia" w:ascii="黑体" w:hAnsi="宋体" w:eastAsia="黑体" w:cs="黑体"/>
                <w:b/>
                <w:color w:val="FFFFFF"/>
                <w:kern w:val="0"/>
                <w:szCs w:val="21"/>
              </w:rPr>
              <w:t>宣讲地点</w:t>
            </w:r>
          </w:p>
        </w:tc>
      </w:tr>
      <w:tr>
        <w:tblPrEx>
          <w:tblLayout w:type="fixed"/>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hint="eastAsia" w:ascii="黑体" w:hAnsi="宋体" w:eastAsia="黑体" w:cs="黑体"/>
                <w:color w:val="000000"/>
                <w:szCs w:val="21"/>
                <w:lang w:val="en-US" w:eastAsia="zh-CN"/>
              </w:rPr>
            </w:pPr>
            <w:r>
              <w:rPr>
                <w:rFonts w:hint="eastAsia" w:ascii="黑体" w:hAnsi="宋体" w:eastAsia="黑体" w:cs="黑体"/>
                <w:color w:val="000000"/>
                <w:szCs w:val="21"/>
                <w:lang w:val="en-US" w:eastAsia="zh-CN"/>
              </w:rPr>
              <w:t>10月11日</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hint="eastAsia" w:ascii="黑体" w:hAnsi="宋体" w:eastAsia="黑体" w:cs="黑体"/>
                <w:color w:val="000000"/>
                <w:szCs w:val="21"/>
                <w:lang w:eastAsia="zh-CN"/>
              </w:rPr>
            </w:pPr>
            <w:r>
              <w:rPr>
                <w:rFonts w:hint="eastAsia" w:ascii="黑体" w:hAnsi="宋体" w:eastAsia="黑体" w:cs="黑体"/>
                <w:color w:val="000000"/>
                <w:szCs w:val="21"/>
                <w:lang w:eastAsia="zh-CN"/>
              </w:rPr>
              <w:t>星期三</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hint="eastAsia" w:ascii="黑体" w:hAnsi="宋体" w:eastAsia="黑体" w:cs="黑体"/>
                <w:color w:val="000000"/>
                <w:szCs w:val="21"/>
                <w:lang w:val="en-US" w:eastAsia="zh-CN"/>
              </w:rPr>
            </w:pPr>
            <w:r>
              <w:rPr>
                <w:rFonts w:hint="eastAsia" w:ascii="黑体" w:hAnsi="宋体" w:eastAsia="黑体" w:cs="黑体"/>
                <w:color w:val="000000"/>
                <w:szCs w:val="21"/>
                <w:lang w:val="en-US" w:eastAsia="zh-CN"/>
              </w:rPr>
              <w:t>15:30--17:00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hint="eastAsia" w:ascii="黑体" w:hAnsi="宋体" w:eastAsia="黑体" w:cs="黑体"/>
                <w:color w:val="000000"/>
                <w:szCs w:val="21"/>
                <w:lang w:eastAsia="zh-CN"/>
              </w:rPr>
            </w:pPr>
            <w:r>
              <w:rPr>
                <w:rFonts w:hint="eastAsia" w:ascii="黑体" w:hAnsi="宋体" w:eastAsia="黑体" w:cs="黑体"/>
                <w:color w:val="000000"/>
                <w:szCs w:val="21"/>
                <w:lang w:eastAsia="zh-CN"/>
              </w:rPr>
              <w:t>吉林大学</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黑体" w:hAnsi="宋体" w:eastAsia="黑体" w:cs="黑体"/>
                <w:color w:val="000000"/>
                <w:szCs w:val="21"/>
              </w:rPr>
            </w:pPr>
            <w:r>
              <w:rPr>
                <w:rFonts w:hint="eastAsia" w:ascii="黑体" w:hAnsi="宋体" w:eastAsia="黑体" w:cs="黑体"/>
                <w:color w:val="000000"/>
                <w:szCs w:val="21"/>
              </w:rPr>
              <w:t>前卫南区逸夫楼第七阶梯教室</w:t>
            </w:r>
          </w:p>
        </w:tc>
      </w:tr>
      <w:tr>
        <w:tblPrEx>
          <w:tblLayout w:type="fixed"/>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hint="eastAsia" w:ascii="黑体" w:hAnsi="宋体" w:eastAsia="黑体" w:cs="黑体"/>
                <w:color w:val="000000"/>
                <w:szCs w:val="21"/>
                <w:lang w:val="en-US" w:eastAsia="zh-CN"/>
              </w:rPr>
            </w:pPr>
            <w:r>
              <w:rPr>
                <w:rFonts w:hint="eastAsia" w:ascii="黑体" w:hAnsi="宋体" w:eastAsia="黑体" w:cs="黑体"/>
                <w:color w:val="000000"/>
                <w:szCs w:val="21"/>
                <w:lang w:val="en-US" w:eastAsia="zh-CN"/>
              </w:rPr>
              <w:t>10月11日</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hint="eastAsia" w:ascii="黑体" w:hAnsi="宋体" w:eastAsia="黑体" w:cs="黑体"/>
                <w:color w:val="000000"/>
                <w:szCs w:val="21"/>
                <w:lang w:eastAsia="zh-CN"/>
              </w:rPr>
            </w:pPr>
            <w:r>
              <w:rPr>
                <w:rFonts w:hint="eastAsia" w:ascii="黑体" w:hAnsi="宋体" w:eastAsia="黑体" w:cs="黑体"/>
                <w:color w:val="000000"/>
                <w:szCs w:val="21"/>
                <w:lang w:eastAsia="zh-CN"/>
              </w:rPr>
              <w:t>星期三</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hint="eastAsia" w:ascii="黑体" w:hAnsi="宋体" w:eastAsia="黑体" w:cs="黑体"/>
                <w:color w:val="000000"/>
                <w:szCs w:val="21"/>
                <w:lang w:val="en-US" w:eastAsia="zh-CN"/>
              </w:rPr>
            </w:pPr>
            <w:r>
              <w:rPr>
                <w:rFonts w:hint="eastAsia" w:ascii="黑体" w:hAnsi="宋体" w:eastAsia="黑体" w:cs="黑体"/>
                <w:color w:val="000000"/>
                <w:szCs w:val="21"/>
                <w:lang w:val="en-US" w:eastAsia="zh-CN"/>
              </w:rPr>
              <w:t>18:00--20:00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hint="eastAsia" w:ascii="黑体" w:hAnsi="宋体" w:eastAsia="黑体" w:cs="黑体"/>
                <w:color w:val="000000"/>
                <w:szCs w:val="21"/>
                <w:lang w:eastAsia="zh-CN"/>
              </w:rPr>
            </w:pPr>
            <w:r>
              <w:rPr>
                <w:rFonts w:hint="eastAsia" w:ascii="黑体" w:hAnsi="宋体" w:eastAsia="黑体" w:cs="黑体"/>
                <w:color w:val="000000"/>
                <w:szCs w:val="21"/>
                <w:lang w:eastAsia="zh-CN"/>
              </w:rPr>
              <w:t>长春理工大学</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黑体" w:hAnsi="宋体" w:eastAsia="黑体" w:cs="黑体"/>
                <w:color w:val="000000"/>
                <w:szCs w:val="21"/>
              </w:rPr>
            </w:pPr>
            <w:r>
              <w:rPr>
                <w:rFonts w:hint="eastAsia" w:ascii="黑体" w:hAnsi="宋体" w:eastAsia="黑体" w:cs="黑体"/>
                <w:color w:val="000000"/>
                <w:szCs w:val="21"/>
              </w:rPr>
              <w:t>东校区行政楼就业创业培训室127</w:t>
            </w:r>
          </w:p>
        </w:tc>
      </w:tr>
    </w:tbl>
    <w:p>
      <w:pPr>
        <w:adjustRightInd w:val="0"/>
        <w:snapToGrid w:val="0"/>
        <w:spacing w:beforeLines="100" w:after="240" w:line="276" w:lineRule="auto"/>
        <w:contextualSpacing/>
        <w:rPr>
          <w:rFonts w:ascii="黑体" w:hAnsi="黑体" w:eastAsia="黑体" w:cs="宋体"/>
          <w:kern w:val="0"/>
          <w:szCs w:val="21"/>
        </w:rPr>
      </w:pPr>
      <w:r>
        <w:rPr>
          <w:rFonts w:hint="eastAsia" w:ascii="黑体" w:hAnsi="黑体" w:eastAsia="黑体" w:cs="宋体"/>
          <w:kern w:val="0"/>
          <w:szCs w:val="21"/>
        </w:rPr>
        <w:t>*更多宣讲行程，请见公司官网或微信公众号。</w:t>
      </w:r>
      <w:bookmarkStart w:id="0" w:name="_GoBack"/>
      <w:bookmarkEnd w:id="0"/>
    </w:p>
    <w:p>
      <w:pPr>
        <w:adjustRightInd w:val="0"/>
        <w:snapToGrid w:val="0"/>
        <w:spacing w:after="240" w:line="276" w:lineRule="auto"/>
        <w:contextualSpacing/>
        <w:rPr>
          <w:rFonts w:ascii="黑体" w:hAnsi="黑体" w:eastAsia="黑体" w:cs="宋体"/>
          <w:b/>
          <w:color w:val="C00000"/>
          <w:kern w:val="0"/>
          <w:sz w:val="24"/>
          <w:szCs w:val="21"/>
        </w:rPr>
      </w:pPr>
    </w:p>
    <w:p>
      <w:pPr>
        <w:adjustRightInd w:val="0"/>
        <w:snapToGrid w:val="0"/>
        <w:spacing w:line="276" w:lineRule="auto"/>
        <w:contextualSpacing/>
        <w:rPr>
          <w:rFonts w:ascii="黑体" w:hAnsi="黑体" w:eastAsia="黑体" w:cs="宋体"/>
          <w:b/>
          <w:color w:val="C00000"/>
          <w:kern w:val="0"/>
          <w:sz w:val="24"/>
          <w:szCs w:val="21"/>
        </w:rPr>
      </w:pPr>
      <w:r>
        <w:rPr>
          <w:rFonts w:hint="eastAsia" w:ascii="黑体" w:hAnsi="黑体" w:eastAsia="黑体" w:cs="宋体"/>
          <w:b/>
          <w:color w:val="C00000"/>
          <w:kern w:val="0"/>
          <w:sz w:val="24"/>
          <w:szCs w:val="21"/>
        </w:rPr>
        <w:t>三、招聘岗位</w:t>
      </w:r>
    </w:p>
    <w:tbl>
      <w:tblPr>
        <w:tblStyle w:val="13"/>
        <w:tblW w:w="8369" w:type="dxa"/>
        <w:tblInd w:w="103" w:type="dxa"/>
        <w:tblLayout w:type="fixed"/>
        <w:tblCellMar>
          <w:top w:w="0" w:type="dxa"/>
          <w:left w:w="108" w:type="dxa"/>
          <w:bottom w:w="0" w:type="dxa"/>
          <w:right w:w="108" w:type="dxa"/>
        </w:tblCellMar>
      </w:tblPr>
      <w:tblGrid>
        <w:gridCol w:w="900"/>
        <w:gridCol w:w="1260"/>
        <w:gridCol w:w="4082"/>
        <w:gridCol w:w="2127"/>
      </w:tblGrid>
      <w:tr>
        <w:tblPrEx>
          <w:tblLayout w:type="fixed"/>
          <w:tblCellMar>
            <w:top w:w="0" w:type="dxa"/>
            <w:left w:w="108" w:type="dxa"/>
            <w:bottom w:w="0" w:type="dxa"/>
            <w:right w:w="108" w:type="dxa"/>
          </w:tblCellMar>
        </w:tblPrEx>
        <w:trPr>
          <w:trHeight w:val="285" w:hRule="atLeast"/>
        </w:trPr>
        <w:tc>
          <w:tcPr>
            <w:tcW w:w="900" w:type="dxa"/>
            <w:tcBorders>
              <w:top w:val="single" w:color="auto" w:sz="4" w:space="0"/>
              <w:left w:val="single" w:color="auto" w:sz="4" w:space="0"/>
              <w:bottom w:val="single" w:color="auto" w:sz="4" w:space="0"/>
              <w:right w:val="single" w:color="auto" w:sz="4" w:space="0"/>
            </w:tcBorders>
            <w:shd w:val="clear" w:color="000000" w:fill="C00000"/>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序号</w:t>
            </w:r>
          </w:p>
        </w:tc>
        <w:tc>
          <w:tcPr>
            <w:tcW w:w="1260" w:type="dxa"/>
            <w:tcBorders>
              <w:top w:val="single" w:color="auto" w:sz="4" w:space="0"/>
              <w:left w:val="nil"/>
              <w:bottom w:val="single" w:color="auto" w:sz="4" w:space="0"/>
              <w:right w:val="single" w:color="auto" w:sz="4" w:space="0"/>
            </w:tcBorders>
            <w:shd w:val="clear" w:color="000000" w:fill="C00000"/>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一级部门</w:t>
            </w:r>
          </w:p>
        </w:tc>
        <w:tc>
          <w:tcPr>
            <w:tcW w:w="4082" w:type="dxa"/>
            <w:tcBorders>
              <w:top w:val="single" w:color="auto" w:sz="4" w:space="0"/>
              <w:left w:val="nil"/>
              <w:bottom w:val="single" w:color="auto" w:sz="4" w:space="0"/>
              <w:right w:val="single" w:color="auto" w:sz="4" w:space="0"/>
            </w:tcBorders>
            <w:shd w:val="clear" w:color="000000" w:fill="C00000"/>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岗位名称</w:t>
            </w:r>
          </w:p>
        </w:tc>
        <w:tc>
          <w:tcPr>
            <w:tcW w:w="2127" w:type="dxa"/>
            <w:tcBorders>
              <w:top w:val="single" w:color="auto" w:sz="4" w:space="0"/>
              <w:left w:val="nil"/>
              <w:bottom w:val="single" w:color="auto" w:sz="4" w:space="0"/>
              <w:right w:val="single" w:color="auto" w:sz="4" w:space="0"/>
            </w:tcBorders>
            <w:shd w:val="clear" w:color="000000" w:fill="C00000"/>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工作地点</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研发类</w:t>
            </w: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软件开发工程师（C/JAVA）</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杭州、西安、济南、深圳</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软件测试工程师（C/JAVA）</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杭州、西安、济南、深圳</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ISP（图像处理）工程师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杭州、西安</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000000" w:fill="FFFFFF"/>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算法工程师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杭州、西安</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驱动开发工程师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杭州、济南</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结构设计工程师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杭州、济南</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装备开发工程师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杭州、济南</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单板互连工程师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杭州、济南</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硬件开发工程师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杭州、济南、深圳</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硬件测试工程师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杭州、济南、深圳</w:t>
            </w:r>
          </w:p>
        </w:tc>
      </w:tr>
      <w:tr>
        <w:tblPrEx>
          <w:tblLayout w:type="fixed"/>
          <w:tblCellMar>
            <w:top w:w="0" w:type="dxa"/>
            <w:left w:w="108" w:type="dxa"/>
            <w:bottom w:w="0" w:type="dxa"/>
            <w:right w:w="108" w:type="dxa"/>
          </w:tblCellMar>
        </w:tblPrEx>
        <w:trPr>
          <w:trHeight w:val="25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11</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器件应用工程师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可靠性工程师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13</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电源工程师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14</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EMC工程师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认证工程师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16</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逻辑(FPGA)开发工程师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17</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造型设计工程师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18</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产品数据工程师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19</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光学工程师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20</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单板工艺工程师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21</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国际市场类</w:t>
            </w: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销售经理（国际市场）</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杭州（出差海外）</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22</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产品经理（国际市场）</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杭州（出差海外）</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23</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国内市场类</w:t>
            </w: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销售经理（国内市场）</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r>
              <w:rPr>
                <w:rFonts w:hint="eastAsia" w:ascii="微软雅黑" w:hAnsi="微软雅黑" w:eastAsia="微软雅黑" w:cs="宋体"/>
                <w:color w:val="000000"/>
                <w:kern w:val="0"/>
                <w:sz w:val="18"/>
                <w:szCs w:val="18"/>
              </w:rPr>
              <w:t>/国内各办事处</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24</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产品经理（国内市场）</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r>
              <w:rPr>
                <w:rFonts w:hint="eastAsia" w:ascii="微软雅黑" w:hAnsi="微软雅黑" w:eastAsia="微软雅黑" w:cs="宋体"/>
                <w:color w:val="000000"/>
                <w:kern w:val="0"/>
                <w:sz w:val="18"/>
                <w:szCs w:val="18"/>
              </w:rPr>
              <w:t>/国内各办事处</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25</w:t>
            </w:r>
          </w:p>
        </w:tc>
        <w:tc>
          <w:tcPr>
            <w:tcW w:w="126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技术服务类</w:t>
            </w: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技术支持工程师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杭州/国内各办事处</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26</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供应链类</w:t>
            </w: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计划工程师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27</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质量工程师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28</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交付管理工程师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29</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采购工程师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30</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统筹工程师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31</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物流工程师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32</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品质保证工程师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33</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工艺工程师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34</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试制工程师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35</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调度工程师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36</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生产管理工程师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37</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000000" w:fill="FFFFFF"/>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SQE（供应商品质管理）</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38</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000000" w:fill="FFFFFF"/>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进出口工程师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39</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IT运维类</w:t>
            </w:r>
          </w:p>
        </w:tc>
        <w:tc>
          <w:tcPr>
            <w:tcW w:w="4082" w:type="dxa"/>
            <w:tcBorders>
              <w:top w:val="nil"/>
              <w:left w:val="nil"/>
              <w:bottom w:val="single" w:color="auto" w:sz="4" w:space="0"/>
              <w:right w:val="single" w:color="auto" w:sz="4" w:space="0"/>
            </w:tcBorders>
            <w:shd w:val="clear" w:color="000000" w:fill="FFFFFF"/>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网络管理工程师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40</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000000" w:fill="FFFFFF"/>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系统管理工程师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41</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000000" w:fill="FFFFFF"/>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应用系统开发工程师</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42</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专业类</w:t>
            </w:r>
          </w:p>
        </w:tc>
        <w:tc>
          <w:tcPr>
            <w:tcW w:w="4082" w:type="dxa"/>
            <w:tcBorders>
              <w:top w:val="nil"/>
              <w:left w:val="nil"/>
              <w:bottom w:val="single" w:color="auto" w:sz="4" w:space="0"/>
              <w:right w:val="single" w:color="auto" w:sz="4" w:space="0"/>
            </w:tcBorders>
            <w:shd w:val="clear" w:color="000000" w:fill="FFFFFF"/>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应收会计</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43</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000000" w:fill="FFFFFF"/>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应付会计</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44</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000000" w:fill="FFFFFF"/>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人力资源专员（员工关系）</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45</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000000" w:fill="FFFFFF"/>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人力资源专员（培训）</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46</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000000" w:fill="FFFFFF"/>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人力资源专员（HRBP）</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47</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000000" w:fill="FFFFFF"/>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培训专员（供应链体系BP）</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w:t>
            </w:r>
          </w:p>
        </w:tc>
      </w:tr>
      <w:tr>
        <w:tblPrEx>
          <w:tblLayout w:type="fixed"/>
          <w:tblCellMar>
            <w:top w:w="0" w:type="dxa"/>
            <w:left w:w="108" w:type="dxa"/>
            <w:bottom w:w="0" w:type="dxa"/>
            <w:right w:w="108" w:type="dxa"/>
          </w:tblCellMar>
        </w:tblPrEx>
        <w:trPr>
          <w:trHeight w:val="28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48</w:t>
            </w: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微软雅黑" w:hAnsi="微软雅黑" w:eastAsia="微软雅黑" w:cs="宋体"/>
                <w:kern w:val="0"/>
                <w:sz w:val="18"/>
                <w:szCs w:val="18"/>
              </w:rPr>
            </w:pPr>
          </w:p>
        </w:tc>
        <w:tc>
          <w:tcPr>
            <w:tcW w:w="4082" w:type="dxa"/>
            <w:tcBorders>
              <w:top w:val="nil"/>
              <w:left w:val="nil"/>
              <w:bottom w:val="single" w:color="auto" w:sz="4" w:space="0"/>
              <w:right w:val="single" w:color="auto" w:sz="4" w:space="0"/>
            </w:tcBorders>
            <w:shd w:val="clear" w:color="000000" w:fill="FFFFFF"/>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行政助理</w:t>
            </w:r>
          </w:p>
        </w:tc>
        <w:tc>
          <w:tcPr>
            <w:tcW w:w="212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杭州、西安</w:t>
            </w:r>
          </w:p>
        </w:tc>
      </w:tr>
    </w:tbl>
    <w:p>
      <w:pPr>
        <w:adjustRightInd w:val="0"/>
        <w:snapToGrid w:val="0"/>
        <w:spacing w:before="240" w:line="276" w:lineRule="auto"/>
        <w:contextualSpacing/>
        <w:rPr>
          <w:rFonts w:ascii="黑体" w:hAnsi="黑体" w:eastAsia="黑体" w:cs="宋体"/>
          <w:b/>
          <w:color w:val="C00000"/>
          <w:kern w:val="0"/>
          <w:sz w:val="24"/>
          <w:szCs w:val="21"/>
        </w:rPr>
      </w:pPr>
    </w:p>
    <w:p>
      <w:pPr>
        <w:adjustRightInd w:val="0"/>
        <w:snapToGrid w:val="0"/>
        <w:spacing w:before="240" w:line="276" w:lineRule="auto"/>
        <w:contextualSpacing/>
        <w:rPr>
          <w:rFonts w:ascii="黑体" w:hAnsi="黑体" w:eastAsia="黑体" w:cs="宋体"/>
          <w:b/>
          <w:color w:val="C00000"/>
          <w:kern w:val="0"/>
          <w:sz w:val="24"/>
          <w:szCs w:val="21"/>
        </w:rPr>
      </w:pPr>
      <w:r>
        <w:rPr>
          <w:rFonts w:hint="eastAsia" w:ascii="黑体" w:hAnsi="黑体" w:eastAsia="黑体" w:cs="宋体"/>
          <w:b/>
          <w:color w:val="C00000"/>
          <w:kern w:val="0"/>
          <w:sz w:val="24"/>
          <w:szCs w:val="21"/>
        </w:rPr>
        <w:t>四、薪资福利</w:t>
      </w:r>
    </w:p>
    <w:p>
      <w:pPr>
        <w:adjustRightInd w:val="0"/>
        <w:snapToGrid w:val="0"/>
        <w:rPr>
          <w:rFonts w:ascii="微软雅黑" w:hAnsi="微软雅黑" w:eastAsia="微软雅黑"/>
          <w:b/>
          <w:color w:val="C00000"/>
          <w:szCs w:val="18"/>
        </w:rPr>
      </w:pPr>
      <w:r>
        <w:rPr>
          <w:rFonts w:hint="eastAsia" w:ascii="微软雅黑" w:hAnsi="微软雅黑" w:eastAsia="微软雅黑"/>
          <w:b/>
          <w:color w:val="C00000"/>
          <w:szCs w:val="18"/>
        </w:rPr>
        <w:t>1.薪资</w:t>
      </w:r>
    </w:p>
    <w:p>
      <w:pPr>
        <w:adjustRightInd w:val="0"/>
        <w:snapToGrid w:val="0"/>
        <w:rPr>
          <w:rFonts w:ascii="微软雅黑" w:hAnsi="微软雅黑" w:eastAsia="微软雅黑"/>
          <w:szCs w:val="18"/>
        </w:rPr>
      </w:pPr>
      <w:r>
        <w:rPr>
          <w:rFonts w:hint="eastAsia" w:ascii="微软雅黑" w:hAnsi="微软雅黑" w:eastAsia="微软雅黑"/>
          <w:szCs w:val="18"/>
        </w:rPr>
        <w:t>薪资水平在行业中具有竞争力，同时根据公司规划研究制定员工长期激励政策，在公司快速发展的同时能让全体员工受益。</w:t>
      </w:r>
    </w:p>
    <w:p>
      <w:pPr>
        <w:adjustRightInd w:val="0"/>
        <w:snapToGrid w:val="0"/>
        <w:rPr>
          <w:rFonts w:ascii="微软雅黑" w:hAnsi="微软雅黑" w:eastAsia="微软雅黑"/>
          <w:b/>
          <w:color w:val="C00000"/>
          <w:szCs w:val="18"/>
        </w:rPr>
      </w:pPr>
      <w:r>
        <w:rPr>
          <w:rFonts w:hint="eastAsia" w:ascii="微软雅黑" w:hAnsi="微软雅黑" w:eastAsia="微软雅黑"/>
          <w:b/>
          <w:color w:val="C00000"/>
          <w:szCs w:val="18"/>
        </w:rPr>
        <w:t>2.社会保险与住房公积金</w:t>
      </w:r>
    </w:p>
    <w:p>
      <w:pPr>
        <w:adjustRightInd w:val="0"/>
        <w:snapToGrid w:val="0"/>
        <w:rPr>
          <w:rFonts w:ascii="微软雅黑" w:hAnsi="微软雅黑" w:eastAsia="微软雅黑"/>
          <w:szCs w:val="18"/>
        </w:rPr>
      </w:pPr>
      <w:r>
        <w:rPr>
          <w:rFonts w:hint="eastAsia" w:ascii="微软雅黑" w:hAnsi="微软雅黑" w:eastAsia="微软雅黑"/>
          <w:szCs w:val="18"/>
        </w:rPr>
        <w:t>根据国家规定，公司为员工办理养老、医疗、生育、失业、工伤社会保险及住房公积金。</w:t>
      </w:r>
    </w:p>
    <w:p>
      <w:pPr>
        <w:adjustRightInd w:val="0"/>
        <w:snapToGrid w:val="0"/>
        <w:rPr>
          <w:rFonts w:ascii="微软雅黑" w:hAnsi="微软雅黑" w:eastAsia="微软雅黑"/>
          <w:b/>
          <w:color w:val="C00000"/>
          <w:szCs w:val="18"/>
        </w:rPr>
      </w:pPr>
      <w:r>
        <w:rPr>
          <w:rFonts w:hint="eastAsia" w:ascii="微软雅黑" w:hAnsi="微软雅黑" w:eastAsia="微软雅黑"/>
          <w:b/>
          <w:color w:val="C00000"/>
          <w:szCs w:val="18"/>
        </w:rPr>
        <w:t>3.免息购房借款</w:t>
      </w:r>
    </w:p>
    <w:p>
      <w:pPr>
        <w:adjustRightInd w:val="0"/>
        <w:snapToGrid w:val="0"/>
        <w:rPr>
          <w:rFonts w:ascii="微软雅黑" w:hAnsi="微软雅黑" w:eastAsia="微软雅黑"/>
          <w:szCs w:val="18"/>
        </w:rPr>
      </w:pPr>
      <w:r>
        <w:rPr>
          <w:rFonts w:hint="eastAsia" w:ascii="微软雅黑" w:hAnsi="微软雅黑" w:eastAsia="微软雅黑"/>
          <w:szCs w:val="18"/>
        </w:rPr>
        <w:t>公司为员工提供免息购房借款，帮助员工实现安居乐业，提升生活层面的幸福指数。</w:t>
      </w:r>
    </w:p>
    <w:p>
      <w:pPr>
        <w:adjustRightInd w:val="0"/>
        <w:snapToGrid w:val="0"/>
        <w:rPr>
          <w:rFonts w:ascii="微软雅黑" w:hAnsi="微软雅黑" w:eastAsia="微软雅黑"/>
          <w:b/>
          <w:color w:val="C00000"/>
          <w:szCs w:val="18"/>
        </w:rPr>
      </w:pPr>
      <w:r>
        <w:rPr>
          <w:rFonts w:hint="eastAsia" w:ascii="微软雅黑" w:hAnsi="微软雅黑" w:eastAsia="微软雅黑"/>
          <w:b/>
          <w:color w:val="C00000"/>
          <w:szCs w:val="18"/>
        </w:rPr>
        <w:t>4.商业保险</w:t>
      </w:r>
    </w:p>
    <w:p>
      <w:pPr>
        <w:adjustRightInd w:val="0"/>
        <w:snapToGrid w:val="0"/>
        <w:rPr>
          <w:rFonts w:ascii="微软雅黑" w:hAnsi="微软雅黑" w:eastAsia="微软雅黑"/>
          <w:szCs w:val="18"/>
        </w:rPr>
      </w:pPr>
      <w:r>
        <w:rPr>
          <w:rFonts w:hint="eastAsia" w:ascii="微软雅黑" w:hAnsi="微软雅黑" w:eastAsia="微软雅黑"/>
          <w:szCs w:val="18"/>
        </w:rPr>
        <w:t>公司为员工额外购买人身意外伤害保险、重大疾病与疾病身故保险、海外商旅无忧保险等。</w:t>
      </w:r>
    </w:p>
    <w:p>
      <w:pPr>
        <w:adjustRightInd w:val="0"/>
        <w:snapToGrid w:val="0"/>
        <w:rPr>
          <w:rFonts w:ascii="微软雅黑" w:hAnsi="微软雅黑" w:eastAsia="微软雅黑"/>
          <w:b/>
          <w:color w:val="C00000"/>
          <w:szCs w:val="18"/>
        </w:rPr>
      </w:pPr>
      <w:r>
        <w:rPr>
          <w:rFonts w:hint="eastAsia" w:ascii="微软雅黑" w:hAnsi="微软雅黑" w:eastAsia="微软雅黑"/>
          <w:b/>
          <w:color w:val="C00000"/>
          <w:szCs w:val="18"/>
        </w:rPr>
        <w:t>5.各类假期</w:t>
      </w:r>
    </w:p>
    <w:p>
      <w:pPr>
        <w:adjustRightInd w:val="0"/>
        <w:snapToGrid w:val="0"/>
        <w:rPr>
          <w:rFonts w:ascii="微软雅黑" w:hAnsi="微软雅黑" w:eastAsia="微软雅黑"/>
          <w:szCs w:val="18"/>
        </w:rPr>
      </w:pPr>
      <w:r>
        <w:rPr>
          <w:rFonts w:hint="eastAsia" w:ascii="微软雅黑" w:hAnsi="微软雅黑" w:eastAsia="微软雅黑"/>
          <w:szCs w:val="18"/>
        </w:rPr>
        <w:t>遵照国家法律法规，员工享受法定节假日和休息日休假，正常享有病假、事假、婚假、计划生育假、丧假等，并根据在公司的连续服务年限享受相应年休假。</w:t>
      </w:r>
    </w:p>
    <w:p>
      <w:pPr>
        <w:adjustRightInd w:val="0"/>
        <w:snapToGrid w:val="0"/>
        <w:rPr>
          <w:rFonts w:ascii="微软雅黑" w:hAnsi="微软雅黑" w:eastAsia="微软雅黑"/>
          <w:b/>
          <w:color w:val="C00000"/>
          <w:szCs w:val="18"/>
        </w:rPr>
      </w:pPr>
      <w:r>
        <w:rPr>
          <w:rFonts w:hint="eastAsia" w:ascii="微软雅黑" w:hAnsi="微软雅黑" w:eastAsia="微软雅黑"/>
          <w:b/>
          <w:color w:val="C00000"/>
          <w:szCs w:val="18"/>
        </w:rPr>
        <w:t>6.年度体检</w:t>
      </w:r>
    </w:p>
    <w:p>
      <w:pPr>
        <w:adjustRightInd w:val="0"/>
        <w:snapToGrid w:val="0"/>
        <w:rPr>
          <w:rFonts w:ascii="微软雅黑" w:hAnsi="微软雅黑" w:eastAsia="微软雅黑"/>
          <w:szCs w:val="18"/>
        </w:rPr>
      </w:pPr>
      <w:r>
        <w:rPr>
          <w:rFonts w:hint="eastAsia" w:ascii="微软雅黑" w:hAnsi="微软雅黑" w:eastAsia="微软雅黑"/>
          <w:szCs w:val="18"/>
        </w:rPr>
        <w:t>公司每年为员工在当地医院安排全面正规的健康体检，细心呵护员工健康。</w:t>
      </w:r>
    </w:p>
    <w:p>
      <w:pPr>
        <w:adjustRightInd w:val="0"/>
        <w:snapToGrid w:val="0"/>
        <w:rPr>
          <w:rFonts w:ascii="微软雅黑" w:hAnsi="微软雅黑" w:eastAsia="微软雅黑"/>
          <w:b/>
          <w:color w:val="C00000"/>
          <w:szCs w:val="18"/>
        </w:rPr>
      </w:pPr>
      <w:r>
        <w:rPr>
          <w:rFonts w:hint="eastAsia" w:ascii="微软雅黑" w:hAnsi="微软雅黑" w:eastAsia="微软雅黑"/>
          <w:b/>
          <w:color w:val="C00000"/>
          <w:szCs w:val="18"/>
        </w:rPr>
        <w:t>7.工作餐和班车接送</w:t>
      </w:r>
    </w:p>
    <w:p>
      <w:pPr>
        <w:adjustRightInd w:val="0"/>
        <w:snapToGrid w:val="0"/>
        <w:rPr>
          <w:rFonts w:ascii="微软雅黑" w:hAnsi="微软雅黑" w:eastAsia="微软雅黑"/>
          <w:szCs w:val="18"/>
        </w:rPr>
      </w:pPr>
      <w:r>
        <w:rPr>
          <w:rFonts w:hint="eastAsia" w:ascii="微软雅黑" w:hAnsi="微软雅黑" w:eastAsia="微软雅黑"/>
          <w:szCs w:val="18"/>
        </w:rPr>
        <w:t>公司内有食堂，为员工提供丰富的三餐，并在杭州配有通达全城的上下班接送车，为员工工作和生活尽可能创造便利。</w:t>
      </w:r>
    </w:p>
    <w:p>
      <w:pPr>
        <w:adjustRightInd w:val="0"/>
        <w:snapToGrid w:val="0"/>
        <w:spacing w:before="240" w:line="276" w:lineRule="auto"/>
        <w:contextualSpacing/>
        <w:rPr>
          <w:rFonts w:ascii="黑体" w:hAnsi="黑体" w:eastAsia="黑体" w:cs="宋体"/>
          <w:b/>
          <w:color w:val="C00000"/>
          <w:kern w:val="0"/>
          <w:sz w:val="24"/>
          <w:szCs w:val="21"/>
        </w:rPr>
      </w:pPr>
    </w:p>
    <w:p>
      <w:pPr>
        <w:adjustRightInd w:val="0"/>
        <w:snapToGrid w:val="0"/>
        <w:spacing w:line="276" w:lineRule="auto"/>
        <w:contextualSpacing/>
        <w:rPr>
          <w:rFonts w:ascii="黑体" w:hAnsi="黑体" w:eastAsia="黑体" w:cs="宋体"/>
          <w:b/>
          <w:color w:val="C00000"/>
          <w:kern w:val="0"/>
          <w:sz w:val="24"/>
          <w:szCs w:val="21"/>
        </w:rPr>
      </w:pPr>
      <w:r>
        <w:rPr>
          <w:rFonts w:hint="eastAsia" w:ascii="黑体" w:hAnsi="黑体" w:eastAsia="黑体" w:cs="宋体"/>
          <w:b/>
          <w:color w:val="C00000"/>
          <w:kern w:val="0"/>
          <w:sz w:val="24"/>
          <w:szCs w:val="21"/>
        </w:rPr>
        <w:t xml:space="preserve">五、招聘流程 </w:t>
      </w:r>
    </w:p>
    <w:p>
      <w:pPr>
        <w:adjustRightInd w:val="0"/>
        <w:snapToGrid w:val="0"/>
        <w:spacing w:line="276" w:lineRule="auto"/>
        <w:contextualSpacing/>
        <w:rPr>
          <w:rFonts w:ascii="黑体" w:hAnsi="黑体" w:eastAsia="黑体"/>
          <w:b/>
          <w:color w:val="C00000"/>
          <w:szCs w:val="21"/>
        </w:rPr>
      </w:pPr>
      <w:r>
        <w:rPr>
          <w:rFonts w:hint="eastAsia" w:ascii="黑体" w:hAnsi="黑体" w:eastAsia="黑体" w:cs="宋体"/>
          <w:b/>
          <w:bCs/>
          <w:color w:val="C00000"/>
          <w:kern w:val="0"/>
          <w:szCs w:val="21"/>
        </w:rPr>
        <w:t>简历投递</w:t>
      </w:r>
      <w:r>
        <w:rPr>
          <w:rFonts w:hint="eastAsia" w:ascii="黑体" w:hAnsi="黑体" w:eastAsia="黑体" w:cs="宋体"/>
          <w:b/>
          <w:color w:val="C00000"/>
          <w:kern w:val="0"/>
          <w:szCs w:val="21"/>
        </w:rPr>
        <w:t>：</w:t>
      </w:r>
      <w:r>
        <w:rPr>
          <w:rFonts w:hint="eastAsia" w:ascii="黑体" w:hAnsi="黑体" w:eastAsia="黑体"/>
          <w:szCs w:val="21"/>
        </w:rPr>
        <w:t>网申地址</w:t>
      </w:r>
      <w:r>
        <w:fldChar w:fldCharType="begin"/>
      </w:r>
      <w:r>
        <w:instrText xml:space="preserve">HYPERLINK "http://www.uniview.com/About_Us/JOB/Campus"</w:instrText>
      </w:r>
      <w:r>
        <w:fldChar w:fldCharType="separate"/>
      </w:r>
      <w:r>
        <w:rPr>
          <w:rStyle w:val="12"/>
          <w:rFonts w:ascii="黑体" w:hAnsi="黑体" w:eastAsia="黑体"/>
          <w:szCs w:val="21"/>
        </w:rPr>
        <w:t>www.uniview.com/About_Us/JOB/Campus</w:t>
      </w:r>
      <w:r>
        <w:fldChar w:fldCharType="end"/>
      </w:r>
      <w:r>
        <w:rPr>
          <w:rFonts w:hint="eastAsia" w:ascii="黑体" w:hAnsi="黑体" w:eastAsia="黑体"/>
          <w:szCs w:val="21"/>
        </w:rPr>
        <w:t>；亦可在招聘微信投递简历。</w:t>
      </w:r>
      <w:r>
        <w:rPr>
          <w:rFonts w:ascii="黑体" w:hAnsi="黑体" w:eastAsia="黑体"/>
          <w:color w:val="C00000"/>
          <w:szCs w:val="21"/>
        </w:rPr>
        <w:t xml:space="preserve"> </w:t>
      </w:r>
    </w:p>
    <w:p>
      <w:pPr>
        <w:adjustRightInd w:val="0"/>
        <w:snapToGrid w:val="0"/>
        <w:spacing w:line="276" w:lineRule="auto"/>
        <w:contextualSpacing/>
        <w:rPr>
          <w:rFonts w:ascii="黑体" w:hAnsi="黑体" w:eastAsia="黑体" w:cs="宋体"/>
          <w:b/>
          <w:color w:val="C00000"/>
          <w:kern w:val="0"/>
          <w:szCs w:val="21"/>
        </w:rPr>
      </w:pPr>
      <w:r>
        <w:rPr>
          <w:rFonts w:hint="eastAsia" w:ascii="黑体" w:hAnsi="黑体" w:eastAsia="黑体" w:cs="宋体"/>
          <w:b/>
          <w:bCs/>
          <w:color w:val="C00000"/>
          <w:kern w:val="0"/>
          <w:szCs w:val="21"/>
        </w:rPr>
        <w:t>公司宣讲：</w:t>
      </w:r>
      <w:r>
        <w:rPr>
          <w:rFonts w:hint="eastAsia" w:ascii="黑体" w:hAnsi="黑体" w:eastAsia="黑体"/>
          <w:szCs w:val="21"/>
        </w:rPr>
        <w:t>进入公司官网或关注招聘微信，了解宣讲行程，参与现场交流，获得关键信息。</w:t>
      </w:r>
    </w:p>
    <w:p>
      <w:pPr>
        <w:adjustRightInd w:val="0"/>
        <w:snapToGrid w:val="0"/>
        <w:spacing w:line="276" w:lineRule="auto"/>
        <w:contextualSpacing/>
        <w:rPr>
          <w:rFonts w:ascii="黑体" w:hAnsi="黑体" w:eastAsia="黑体" w:cs="宋体"/>
          <w:b/>
          <w:bCs/>
          <w:color w:val="C00000"/>
          <w:kern w:val="0"/>
          <w:szCs w:val="21"/>
        </w:rPr>
      </w:pPr>
      <w:r>
        <w:rPr>
          <w:rFonts w:hint="eastAsia" w:ascii="黑体" w:hAnsi="黑体" w:eastAsia="黑体" w:cs="宋体"/>
          <w:b/>
          <w:bCs/>
          <w:color w:val="C00000"/>
          <w:kern w:val="0"/>
          <w:szCs w:val="21"/>
        </w:rPr>
        <w:t>在线笔试：</w:t>
      </w:r>
      <w:r>
        <w:rPr>
          <w:rFonts w:hint="eastAsia" w:ascii="黑体" w:hAnsi="黑体" w:eastAsia="黑体"/>
          <w:szCs w:val="21"/>
        </w:rPr>
        <w:t>简历初筛后统一进行在线笔试；具体安排将提前以邮件</w:t>
      </w:r>
      <w:r>
        <w:rPr>
          <w:rFonts w:ascii="黑体" w:hAnsi="黑体" w:eastAsia="黑体"/>
          <w:szCs w:val="21"/>
        </w:rPr>
        <w:t>+</w:t>
      </w:r>
      <w:r>
        <w:rPr>
          <w:rFonts w:hint="eastAsia" w:ascii="黑体" w:hAnsi="黑体" w:eastAsia="黑体"/>
          <w:szCs w:val="21"/>
        </w:rPr>
        <w:t>短信形式通知本人。</w:t>
      </w:r>
    </w:p>
    <w:p>
      <w:pPr>
        <w:adjustRightInd w:val="0"/>
        <w:snapToGrid w:val="0"/>
        <w:spacing w:line="276" w:lineRule="auto"/>
        <w:contextualSpacing/>
        <w:rPr>
          <w:rFonts w:ascii="黑体" w:hAnsi="黑体" w:eastAsia="黑体" w:cs="宋体"/>
          <w:b/>
          <w:bCs/>
          <w:color w:val="C00000"/>
          <w:kern w:val="0"/>
          <w:szCs w:val="21"/>
        </w:rPr>
      </w:pPr>
      <w:r>
        <w:rPr>
          <w:rFonts w:hint="eastAsia" w:ascii="黑体" w:hAnsi="黑体" w:eastAsia="黑体" w:cs="宋体"/>
          <w:b/>
          <w:bCs/>
          <w:color w:val="C00000"/>
          <w:kern w:val="0"/>
          <w:szCs w:val="21"/>
        </w:rPr>
        <w:t>综合面试：</w:t>
      </w:r>
      <w:r>
        <w:rPr>
          <w:rFonts w:hint="eastAsia" w:ascii="黑体" w:hAnsi="黑体" w:eastAsia="黑体"/>
          <w:szCs w:val="21"/>
        </w:rPr>
        <w:t>笔试通过者将参加面试，具体安排将提前用邮件+短信通知本人。</w:t>
      </w:r>
    </w:p>
    <w:p>
      <w:pPr>
        <w:adjustRightInd w:val="0"/>
        <w:snapToGrid w:val="0"/>
        <w:spacing w:line="276" w:lineRule="auto"/>
        <w:contextualSpacing/>
        <w:rPr>
          <w:rFonts w:ascii="黑体" w:hAnsi="黑体" w:eastAsia="黑体" w:cs="宋体"/>
          <w:b/>
          <w:bCs/>
          <w:color w:val="C00000"/>
          <w:kern w:val="0"/>
          <w:szCs w:val="21"/>
        </w:rPr>
      </w:pPr>
      <w:r>
        <w:rPr>
          <w:rFonts w:hint="eastAsia" w:ascii="黑体" w:hAnsi="黑体" w:eastAsia="黑体" w:cs="宋体"/>
          <w:b/>
          <w:bCs/>
          <w:color w:val="C00000"/>
          <w:kern w:val="0"/>
          <w:szCs w:val="21"/>
        </w:rPr>
        <w:t>审批录用：</w:t>
      </w:r>
      <w:r>
        <w:rPr>
          <w:rFonts w:hint="eastAsia" w:ascii="黑体" w:hAnsi="黑体" w:eastAsia="黑体"/>
          <w:szCs w:val="21"/>
        </w:rPr>
        <w:t>面试通过者进入录用审批环节；公司审批通过后，正式发放录用通知书。</w:t>
      </w:r>
    </w:p>
    <w:p>
      <w:pPr>
        <w:adjustRightInd w:val="0"/>
        <w:snapToGrid w:val="0"/>
        <w:spacing w:line="276" w:lineRule="auto"/>
        <w:contextualSpacing/>
        <w:rPr>
          <w:rFonts w:ascii="黑体" w:hAnsi="黑体" w:eastAsia="黑体" w:cs="宋体"/>
          <w:b/>
          <w:color w:val="C00000"/>
          <w:kern w:val="0"/>
          <w:szCs w:val="21"/>
        </w:rPr>
      </w:pPr>
      <w:r>
        <w:rPr>
          <w:rFonts w:hint="eastAsia" w:ascii="黑体" w:hAnsi="黑体" w:eastAsia="黑体" w:cs="宋体"/>
          <w:b/>
          <w:bCs/>
          <w:color w:val="C00000"/>
          <w:kern w:val="0"/>
          <w:szCs w:val="21"/>
        </w:rPr>
        <w:t>体检签约</w:t>
      </w:r>
      <w:r>
        <w:rPr>
          <w:rFonts w:hint="eastAsia" w:ascii="黑体" w:hAnsi="黑体" w:eastAsia="黑体" w:cs="宋体"/>
          <w:b/>
          <w:color w:val="C00000"/>
          <w:kern w:val="0"/>
          <w:szCs w:val="21"/>
        </w:rPr>
        <w:t>：</w:t>
      </w:r>
      <w:r>
        <w:rPr>
          <w:rFonts w:hint="eastAsia" w:ascii="黑体" w:hAnsi="黑体" w:eastAsia="黑体"/>
          <w:szCs w:val="21"/>
        </w:rPr>
        <w:t>按指定要求完成基本项目体检，参加签约座谈，提交体检报告与三方协议。</w:t>
      </w:r>
    </w:p>
    <w:p>
      <w:pPr>
        <w:adjustRightInd w:val="0"/>
        <w:snapToGrid w:val="0"/>
        <w:spacing w:line="276" w:lineRule="auto"/>
        <w:contextualSpacing/>
        <w:rPr>
          <w:rFonts w:ascii="黑体" w:hAnsi="黑体" w:eastAsia="黑体" w:cs="宋体"/>
          <w:b/>
          <w:color w:val="C00000"/>
          <w:kern w:val="0"/>
          <w:szCs w:val="21"/>
        </w:rPr>
      </w:pPr>
      <w:r>
        <w:rPr>
          <w:rFonts w:hint="eastAsia" w:ascii="黑体" w:hAnsi="黑体" w:eastAsia="黑体" w:cs="宋体"/>
          <w:b/>
          <w:bCs/>
          <w:color w:val="C00000"/>
          <w:kern w:val="0"/>
          <w:szCs w:val="21"/>
        </w:rPr>
        <w:t>入职报到：</w:t>
      </w:r>
      <w:r>
        <w:rPr>
          <w:rFonts w:hint="eastAsia" w:ascii="黑体" w:hAnsi="黑体" w:eastAsia="黑体"/>
          <w:szCs w:val="21"/>
        </w:rPr>
        <w:t>结合毕业时间，根据公司报到安排，按时报到。</w:t>
      </w:r>
    </w:p>
    <w:p>
      <w:pPr>
        <w:adjustRightInd w:val="0"/>
        <w:snapToGrid w:val="0"/>
        <w:spacing w:line="276" w:lineRule="auto"/>
        <w:contextualSpacing/>
        <w:rPr>
          <w:rFonts w:ascii="黑体" w:hAnsi="黑体" w:eastAsia="黑体" w:cs="宋体"/>
          <w:b/>
          <w:color w:val="C00000"/>
          <w:kern w:val="0"/>
          <w:sz w:val="24"/>
          <w:szCs w:val="21"/>
        </w:rPr>
      </w:pPr>
    </w:p>
    <w:p>
      <w:pPr>
        <w:adjustRightInd w:val="0"/>
        <w:snapToGrid w:val="0"/>
        <w:spacing w:line="276" w:lineRule="auto"/>
        <w:contextualSpacing/>
        <w:rPr>
          <w:rFonts w:ascii="黑体" w:hAnsi="黑体" w:eastAsia="黑体" w:cs="宋体"/>
          <w:b/>
          <w:color w:val="C00000"/>
          <w:kern w:val="0"/>
          <w:sz w:val="24"/>
          <w:szCs w:val="21"/>
        </w:rPr>
      </w:pPr>
      <w:r>
        <w:rPr>
          <w:rFonts w:hint="eastAsia" w:ascii="黑体" w:hAnsi="黑体" w:eastAsia="黑体" w:cs="宋体"/>
          <w:b/>
          <w:color w:val="C00000"/>
          <w:kern w:val="0"/>
          <w:sz w:val="24"/>
          <w:szCs w:val="21"/>
        </w:rPr>
        <w:t xml:space="preserve">六、关注方式 </w:t>
      </w:r>
    </w:p>
    <w:p>
      <w:pPr>
        <w:adjustRightInd w:val="0"/>
        <w:snapToGrid w:val="0"/>
        <w:spacing w:beforeLines="100" w:afterLines="100" w:line="276" w:lineRule="auto"/>
        <w:contextualSpacing/>
        <w:rPr>
          <w:rFonts w:ascii="黑体" w:hAnsi="黑体" w:eastAsia="黑体" w:cs="宋体"/>
          <w:kern w:val="0"/>
          <w:szCs w:val="21"/>
        </w:rPr>
      </w:pPr>
      <w:r>
        <w:rPr>
          <w:rFonts w:hint="eastAsia" w:ascii="黑体" w:hAnsi="黑体" w:eastAsia="黑体" w:cs="宋体"/>
          <w:b/>
          <w:kern w:val="0"/>
          <w:szCs w:val="21"/>
        </w:rPr>
        <w:t xml:space="preserve">校招热线: </w:t>
      </w:r>
      <w:r>
        <w:rPr>
          <w:rFonts w:hint="eastAsia" w:ascii="黑体" w:hAnsi="黑体" w:eastAsia="黑体" w:cs="宋体"/>
          <w:kern w:val="0"/>
          <w:szCs w:val="21"/>
        </w:rPr>
        <w:t xml:space="preserve">0571-86509003                     </w:t>
      </w:r>
      <w:r>
        <w:rPr>
          <w:rFonts w:hint="eastAsia" w:ascii="黑体" w:hAnsi="黑体" w:eastAsia="黑体" w:cs="宋体"/>
          <w:b/>
          <w:kern w:val="0"/>
          <w:szCs w:val="21"/>
        </w:rPr>
        <w:t>咨询邮箱：</w:t>
      </w:r>
      <w:r>
        <w:rPr>
          <w:rFonts w:hint="eastAsia" w:ascii="黑体" w:hAnsi="黑体" w:eastAsia="黑体" w:cs="宋体"/>
          <w:kern w:val="0"/>
          <w:szCs w:val="21"/>
        </w:rPr>
        <w:t>job@uniview.com</w:t>
      </w:r>
    </w:p>
    <w:p>
      <w:pPr>
        <w:adjustRightInd w:val="0"/>
        <w:snapToGrid w:val="0"/>
        <w:spacing w:beforeLines="100" w:afterLines="100" w:line="276" w:lineRule="auto"/>
        <w:contextualSpacing/>
        <w:rPr>
          <w:rFonts w:ascii="黑体" w:hAnsi="黑体" w:eastAsia="黑体" w:cs="宋体"/>
          <w:kern w:val="0"/>
          <w:szCs w:val="21"/>
        </w:rPr>
      </w:pPr>
      <w:r>
        <w:rPr>
          <w:rFonts w:hint="eastAsia" w:ascii="黑体" w:hAnsi="黑体" w:eastAsia="黑体" w:cs="宋体"/>
          <w:b/>
          <w:kern w:val="0"/>
          <w:szCs w:val="21"/>
        </w:rPr>
        <w:t>公司官网：</w:t>
      </w:r>
      <w:r>
        <w:fldChar w:fldCharType="begin"/>
      </w:r>
      <w:r>
        <w:instrText xml:space="preserve">HYPERLINK "http://www.uniview.com"</w:instrText>
      </w:r>
      <w:r>
        <w:fldChar w:fldCharType="separate"/>
      </w:r>
      <w:r>
        <w:rPr>
          <w:rFonts w:hint="eastAsia" w:ascii="黑体" w:hAnsi="黑体" w:eastAsia="黑体" w:cs="宋体"/>
          <w:kern w:val="0"/>
          <w:szCs w:val="21"/>
        </w:rPr>
        <w:t>http://www.uniview.com</w:t>
      </w:r>
      <w:r>
        <w:fldChar w:fldCharType="end"/>
      </w:r>
    </w:p>
    <w:p>
      <w:pPr>
        <w:adjustRightInd w:val="0"/>
        <w:snapToGrid w:val="0"/>
        <w:spacing w:beforeLines="100" w:afterLines="100" w:line="276" w:lineRule="auto"/>
        <w:contextualSpacing/>
        <w:jc w:val="left"/>
        <w:rPr>
          <w:rFonts w:ascii="黑体" w:hAnsi="黑体" w:eastAsia="黑体" w:cs="宋体"/>
          <w:b/>
          <w:kern w:val="0"/>
          <w:szCs w:val="21"/>
        </w:rPr>
      </w:pPr>
      <w:r>
        <w:rPr>
          <w:rFonts w:hint="eastAsia" w:ascii="黑体" w:hAnsi="黑体" w:eastAsia="黑体" w:cs="宋体"/>
          <w:b/>
          <w:kern w:val="0"/>
          <w:szCs w:val="21"/>
        </w:rPr>
        <w:t>宇视招聘官方微信：</w:t>
      </w:r>
      <w:r>
        <w:rPr>
          <w:rFonts w:hint="eastAsia" w:ascii="黑体" w:hAnsi="黑体" w:eastAsia="黑体" w:cs="宋体"/>
          <w:kern w:val="0"/>
          <w:szCs w:val="21"/>
        </w:rPr>
        <w:t>宇视招聘/</w:t>
      </w:r>
      <w:r>
        <w:rPr>
          <w:rFonts w:hint="eastAsia" w:ascii="黑体" w:hAnsi="黑体" w:eastAsia="黑体"/>
          <w:color w:val="222222"/>
          <w:szCs w:val="21"/>
        </w:rPr>
        <w:t>uniview-hr     （</w:t>
      </w:r>
      <w:r>
        <w:rPr>
          <w:rFonts w:hint="eastAsia" w:ascii="黑体" w:hAnsi="黑体" w:eastAsia="黑体" w:cs="宋体"/>
          <w:kern w:val="0"/>
          <w:szCs w:val="21"/>
        </w:rPr>
        <w:t xml:space="preserve">扫描二维码关注我们，获取详细校招资讯）            </w:t>
      </w:r>
      <w:r>
        <w:rPr>
          <w:rFonts w:ascii="黑体" w:hAnsi="黑体" w:eastAsia="黑体" w:cs="宋体"/>
          <w:kern w:val="0"/>
          <w:szCs w:val="21"/>
        </w:rPr>
        <w:drawing>
          <wp:inline distT="0" distB="0" distL="0" distR="0">
            <wp:extent cx="1144270" cy="1144270"/>
            <wp:effectExtent l="0" t="0" r="17780" b="17780"/>
            <wp:docPr id="5" name="图片 2" descr="C:\Users\w00836\Desktop\qrcode_for_gh_6774677311b8_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w00836\Desktop\qrcode_for_gh_6774677311b8_430.jpg"/>
                    <pic:cNvPicPr>
                      <a:picLocks noChangeAspect="1" noChangeArrowheads="1"/>
                    </pic:cNvPicPr>
                  </pic:nvPicPr>
                  <pic:blipFill>
                    <a:blip r:embed="rId4" cstate="print"/>
                    <a:srcRect/>
                    <a:stretch>
                      <a:fillRect/>
                    </a:stretch>
                  </pic:blipFill>
                  <pic:spPr>
                    <a:xfrm>
                      <a:off x="0" y="0"/>
                      <a:ext cx="1144270" cy="1144270"/>
                    </a:xfrm>
                    <a:prstGeom prst="rect">
                      <a:avLst/>
                    </a:prstGeom>
                    <a:noFill/>
                    <a:ln w="9525">
                      <a:noFill/>
                      <a:miter lim="800000"/>
                      <a:headEnd/>
                      <a:tailEnd/>
                    </a:ln>
                  </pic:spPr>
                </pic:pic>
              </a:graphicData>
            </a:graphic>
          </wp:inline>
        </w:drawing>
      </w:r>
    </w:p>
    <w:sectPr>
      <w:pgSz w:w="11906" w:h="16838"/>
      <w:pgMar w:top="954" w:right="1800" w:bottom="709" w:left="1800" w:header="28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李旭科书法 v1.4">
    <w:altName w:val="微软雅黑"/>
    <w:panose1 w:val="02000603000000000000"/>
    <w:charset w:val="86"/>
    <w:family w:val="auto"/>
    <w:pitch w:val="default"/>
    <w:sig w:usb0="00000000" w:usb1="00000000" w:usb2="00000012"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7BC2"/>
    <w:rsid w:val="00006415"/>
    <w:rsid w:val="0001665D"/>
    <w:rsid w:val="00017A64"/>
    <w:rsid w:val="000216B5"/>
    <w:rsid w:val="00033D67"/>
    <w:rsid w:val="00045438"/>
    <w:rsid w:val="000608E2"/>
    <w:rsid w:val="00063BC6"/>
    <w:rsid w:val="00084227"/>
    <w:rsid w:val="000B093C"/>
    <w:rsid w:val="001020DD"/>
    <w:rsid w:val="00131BA4"/>
    <w:rsid w:val="00142E09"/>
    <w:rsid w:val="00186E93"/>
    <w:rsid w:val="001B247F"/>
    <w:rsid w:val="001E636D"/>
    <w:rsid w:val="00235C73"/>
    <w:rsid w:val="00255FAF"/>
    <w:rsid w:val="00266D5F"/>
    <w:rsid w:val="002D5C47"/>
    <w:rsid w:val="00330AD3"/>
    <w:rsid w:val="0035742F"/>
    <w:rsid w:val="00360708"/>
    <w:rsid w:val="00362C97"/>
    <w:rsid w:val="00394C57"/>
    <w:rsid w:val="003C546A"/>
    <w:rsid w:val="003D6C48"/>
    <w:rsid w:val="003E5D85"/>
    <w:rsid w:val="003F2736"/>
    <w:rsid w:val="004135AE"/>
    <w:rsid w:val="004355BE"/>
    <w:rsid w:val="00487009"/>
    <w:rsid w:val="004A4C0C"/>
    <w:rsid w:val="004B5BDE"/>
    <w:rsid w:val="004C1879"/>
    <w:rsid w:val="004D3C29"/>
    <w:rsid w:val="005059AB"/>
    <w:rsid w:val="00514CF8"/>
    <w:rsid w:val="005358E6"/>
    <w:rsid w:val="00536F90"/>
    <w:rsid w:val="00542B6B"/>
    <w:rsid w:val="0055050D"/>
    <w:rsid w:val="0056537C"/>
    <w:rsid w:val="00573687"/>
    <w:rsid w:val="0057686D"/>
    <w:rsid w:val="00591B82"/>
    <w:rsid w:val="005E2B7A"/>
    <w:rsid w:val="00612B1A"/>
    <w:rsid w:val="006154AF"/>
    <w:rsid w:val="0062703B"/>
    <w:rsid w:val="00651899"/>
    <w:rsid w:val="00654695"/>
    <w:rsid w:val="0065671E"/>
    <w:rsid w:val="0066098C"/>
    <w:rsid w:val="006A07CE"/>
    <w:rsid w:val="006D136C"/>
    <w:rsid w:val="006D2F5D"/>
    <w:rsid w:val="006F1151"/>
    <w:rsid w:val="007361F2"/>
    <w:rsid w:val="00743A68"/>
    <w:rsid w:val="007468D6"/>
    <w:rsid w:val="00757C5C"/>
    <w:rsid w:val="00772EF6"/>
    <w:rsid w:val="00782430"/>
    <w:rsid w:val="007B67B5"/>
    <w:rsid w:val="007C067A"/>
    <w:rsid w:val="007C2A89"/>
    <w:rsid w:val="007D0385"/>
    <w:rsid w:val="007E0C8E"/>
    <w:rsid w:val="007E5D34"/>
    <w:rsid w:val="007E7403"/>
    <w:rsid w:val="007F2445"/>
    <w:rsid w:val="008158EC"/>
    <w:rsid w:val="008228B9"/>
    <w:rsid w:val="00822A94"/>
    <w:rsid w:val="00833864"/>
    <w:rsid w:val="00841169"/>
    <w:rsid w:val="00885556"/>
    <w:rsid w:val="008867A7"/>
    <w:rsid w:val="008C78F8"/>
    <w:rsid w:val="008F3D9B"/>
    <w:rsid w:val="00931177"/>
    <w:rsid w:val="00940CEA"/>
    <w:rsid w:val="0099541D"/>
    <w:rsid w:val="009A30C1"/>
    <w:rsid w:val="009B3E8E"/>
    <w:rsid w:val="009B733D"/>
    <w:rsid w:val="009F045A"/>
    <w:rsid w:val="009F4DC2"/>
    <w:rsid w:val="009F55F1"/>
    <w:rsid w:val="00A0052D"/>
    <w:rsid w:val="00A325CC"/>
    <w:rsid w:val="00A77856"/>
    <w:rsid w:val="00A8178C"/>
    <w:rsid w:val="00AA6FAD"/>
    <w:rsid w:val="00AC0F6E"/>
    <w:rsid w:val="00AC4FD9"/>
    <w:rsid w:val="00AE7435"/>
    <w:rsid w:val="00AF704F"/>
    <w:rsid w:val="00B03681"/>
    <w:rsid w:val="00B17CAD"/>
    <w:rsid w:val="00B231D9"/>
    <w:rsid w:val="00B400E2"/>
    <w:rsid w:val="00B40415"/>
    <w:rsid w:val="00B51925"/>
    <w:rsid w:val="00B57079"/>
    <w:rsid w:val="00B626E5"/>
    <w:rsid w:val="00B9271B"/>
    <w:rsid w:val="00B9375D"/>
    <w:rsid w:val="00BA5F43"/>
    <w:rsid w:val="00BA6B1D"/>
    <w:rsid w:val="00C2094F"/>
    <w:rsid w:val="00C42567"/>
    <w:rsid w:val="00C573EC"/>
    <w:rsid w:val="00C770CF"/>
    <w:rsid w:val="00C87BC2"/>
    <w:rsid w:val="00CB093D"/>
    <w:rsid w:val="00CB2DAB"/>
    <w:rsid w:val="00CC0EDD"/>
    <w:rsid w:val="00CC7AB4"/>
    <w:rsid w:val="00D05DA5"/>
    <w:rsid w:val="00DD4718"/>
    <w:rsid w:val="00DE26D0"/>
    <w:rsid w:val="00DF0F4F"/>
    <w:rsid w:val="00E25C44"/>
    <w:rsid w:val="00E4185A"/>
    <w:rsid w:val="00E63407"/>
    <w:rsid w:val="00E66509"/>
    <w:rsid w:val="00F133AF"/>
    <w:rsid w:val="00F1740D"/>
    <w:rsid w:val="00F44642"/>
    <w:rsid w:val="00F45610"/>
    <w:rsid w:val="00F96AB7"/>
    <w:rsid w:val="00FB0D66"/>
    <w:rsid w:val="00FC3126"/>
    <w:rsid w:val="00FF5FBD"/>
    <w:rsid w:val="0CB700CE"/>
    <w:rsid w:val="0F3361E2"/>
    <w:rsid w:val="248B57CF"/>
    <w:rsid w:val="257207B2"/>
    <w:rsid w:val="2B3541A7"/>
    <w:rsid w:val="2D235984"/>
    <w:rsid w:val="342C3BE9"/>
    <w:rsid w:val="390D485F"/>
    <w:rsid w:val="391E1262"/>
    <w:rsid w:val="3C185969"/>
    <w:rsid w:val="424378FB"/>
    <w:rsid w:val="42744A71"/>
    <w:rsid w:val="468A669F"/>
    <w:rsid w:val="4AAC39E1"/>
    <w:rsid w:val="4FC41C17"/>
    <w:rsid w:val="56E6458D"/>
    <w:rsid w:val="5DCE38A2"/>
    <w:rsid w:val="64F2114F"/>
    <w:rsid w:val="70F00250"/>
    <w:rsid w:val="71271CF5"/>
    <w:rsid w:val="74AD0F7F"/>
    <w:rsid w:val="7BB42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3"/>
    <w:link w:val="15"/>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link w:val="16"/>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link w:val="17"/>
    <w:qFormat/>
    <w:uiPriority w:val="0"/>
    <w:pPr>
      <w:keepNext/>
      <w:keepLines/>
      <w:numPr>
        <w:ilvl w:val="2"/>
        <w:numId w:val="1"/>
      </w:numPr>
      <w:spacing w:before="260" w:after="260" w:line="416" w:lineRule="auto"/>
      <w:outlineLvl w:val="2"/>
    </w:pPr>
    <w:rPr>
      <w:rFonts w:eastAsia="黑体"/>
      <w:bCs/>
      <w:sz w:val="24"/>
      <w:szCs w:val="32"/>
    </w:rPr>
  </w:style>
  <w:style w:type="character" w:default="1" w:styleId="9">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Balloon Text"/>
    <w:basedOn w:val="1"/>
    <w:link w:val="19"/>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line="270" w:lineRule="atLeast"/>
      <w:jc w:val="left"/>
    </w:pPr>
    <w:rPr>
      <w:kern w:val="0"/>
      <w:sz w:val="24"/>
    </w:rPr>
  </w:style>
  <w:style w:type="character" w:styleId="10">
    <w:name w:val="Strong"/>
    <w:basedOn w:val="9"/>
    <w:qFormat/>
    <w:uiPriority w:val="22"/>
    <w:rPr>
      <w:b/>
    </w:rPr>
  </w:style>
  <w:style w:type="character" w:styleId="11">
    <w:name w:val="FollowedHyperlink"/>
    <w:basedOn w:val="9"/>
    <w:unhideWhenUsed/>
    <w:qFormat/>
    <w:uiPriority w:val="99"/>
    <w:rPr>
      <w:color w:val="648BB1"/>
      <w:u w:val="none"/>
    </w:rPr>
  </w:style>
  <w:style w:type="character" w:styleId="12">
    <w:name w:val="Hyperlink"/>
    <w:basedOn w:val="9"/>
    <w:unhideWhenUsed/>
    <w:qFormat/>
    <w:uiPriority w:val="99"/>
    <w:rPr>
      <w:color w:val="0000FF" w:themeColor="hyperlink"/>
      <w:u w:val="single"/>
    </w:rPr>
  </w:style>
  <w:style w:type="table" w:styleId="14">
    <w:name w:val="Light Shading Accent 2"/>
    <w:basedOn w:val="13"/>
    <w:qFormat/>
    <w:uiPriority w:val="60"/>
    <w:rPr>
      <w:color w:val="943734" w:themeColor="accent2" w:themeShade="BF"/>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left w:val="nil"/>
          <w:right w:val="nil"/>
          <w:insideH w:val="nil"/>
          <w:insideV w:val="nil"/>
        </w:tcBorders>
        <w:shd w:val="clear" w:color="auto" w:fill="EFD3D3" w:themeFill="accent2" w:themeFillTint="3F"/>
      </w:tcPr>
    </w:tblStylePr>
  </w:style>
  <w:style w:type="character" w:customStyle="1" w:styleId="15">
    <w:name w:val="标题 1 Char"/>
    <w:basedOn w:val="9"/>
    <w:link w:val="2"/>
    <w:qFormat/>
    <w:uiPriority w:val="0"/>
    <w:rPr>
      <w:rFonts w:ascii="Arial" w:hAnsi="Arial" w:eastAsia="黑体" w:cs="Times New Roman"/>
      <w:b/>
      <w:kern w:val="0"/>
      <w:sz w:val="32"/>
      <w:szCs w:val="32"/>
    </w:rPr>
  </w:style>
  <w:style w:type="character" w:customStyle="1" w:styleId="16">
    <w:name w:val="标题 2 Char"/>
    <w:basedOn w:val="9"/>
    <w:link w:val="3"/>
    <w:qFormat/>
    <w:uiPriority w:val="0"/>
    <w:rPr>
      <w:rFonts w:ascii="Arial" w:hAnsi="Arial" w:eastAsia="黑体" w:cs="Times New Roman"/>
      <w:kern w:val="0"/>
      <w:sz w:val="24"/>
      <w:szCs w:val="24"/>
    </w:rPr>
  </w:style>
  <w:style w:type="character" w:customStyle="1" w:styleId="17">
    <w:name w:val="标题 3 Char"/>
    <w:basedOn w:val="9"/>
    <w:link w:val="4"/>
    <w:qFormat/>
    <w:uiPriority w:val="0"/>
    <w:rPr>
      <w:rFonts w:ascii="Times New Roman" w:hAnsi="Times New Roman" w:eastAsia="黑体" w:cs="Times New Roman"/>
      <w:bCs/>
      <w:sz w:val="24"/>
      <w:szCs w:val="32"/>
    </w:rPr>
  </w:style>
  <w:style w:type="paragraph" w:customStyle="1" w:styleId="18">
    <w:name w:val="缺省文本"/>
    <w:basedOn w:val="1"/>
    <w:qFormat/>
    <w:uiPriority w:val="0"/>
    <w:rPr>
      <w:sz w:val="24"/>
    </w:rPr>
  </w:style>
  <w:style w:type="character" w:customStyle="1" w:styleId="19">
    <w:name w:val="批注框文本 Char"/>
    <w:basedOn w:val="9"/>
    <w:link w:val="5"/>
    <w:semiHidden/>
    <w:qFormat/>
    <w:uiPriority w:val="99"/>
    <w:rPr>
      <w:rFonts w:ascii="Times New Roman" w:hAnsi="Times New Roman" w:eastAsia="宋体" w:cs="Times New Roman"/>
      <w:sz w:val="18"/>
      <w:szCs w:val="18"/>
    </w:rPr>
  </w:style>
  <w:style w:type="character" w:customStyle="1" w:styleId="20">
    <w:name w:val="页眉 Char"/>
    <w:basedOn w:val="9"/>
    <w:link w:val="7"/>
    <w:semiHidden/>
    <w:qFormat/>
    <w:uiPriority w:val="99"/>
    <w:rPr>
      <w:rFonts w:ascii="Times New Roman" w:hAnsi="Times New Roman" w:eastAsia="宋体" w:cs="Times New Roman"/>
      <w:sz w:val="18"/>
      <w:szCs w:val="18"/>
    </w:rPr>
  </w:style>
  <w:style w:type="character" w:customStyle="1" w:styleId="21">
    <w:name w:val="页脚 Char"/>
    <w:basedOn w:val="9"/>
    <w:link w:val="6"/>
    <w:semiHidden/>
    <w:qFormat/>
    <w:uiPriority w:val="99"/>
    <w:rPr>
      <w:rFonts w:ascii="Times New Roman" w:hAnsi="Times New Roman" w:eastAsia="宋体" w:cs="Times New Roman"/>
      <w:sz w:val="18"/>
      <w:szCs w:val="18"/>
    </w:rPr>
  </w:style>
  <w:style w:type="paragraph" w:customStyle="1" w:styleId="22">
    <w:name w:val="列出段落1"/>
    <w:basedOn w:val="1"/>
    <w:qFormat/>
    <w:uiPriority w:val="34"/>
    <w:pPr>
      <w:widowControl/>
      <w:ind w:firstLine="420" w:firstLineChars="200"/>
      <w:jc w:val="left"/>
    </w:pPr>
    <w:rPr>
      <w:rFonts w:ascii="宋体" w:hAnsi="宋体" w:cs="宋体"/>
      <w:kern w:val="0"/>
      <w:sz w:val="24"/>
    </w:rPr>
  </w:style>
  <w:style w:type="character" w:customStyle="1" w:styleId="23">
    <w:name w:val="gfwx"/>
    <w:basedOn w:val="9"/>
    <w:uiPriority w:val="0"/>
  </w:style>
  <w:style w:type="character" w:customStyle="1" w:styleId="24">
    <w:name w:val="hywx"/>
    <w:basedOn w:val="9"/>
    <w:qFormat/>
    <w:uiPriority w:val="0"/>
  </w:style>
  <w:style w:type="character" w:customStyle="1" w:styleId="25">
    <w:name w:val="prev"/>
    <w:basedOn w:val="9"/>
    <w:uiPriority w:val="0"/>
  </w:style>
  <w:style w:type="character" w:customStyle="1" w:styleId="26">
    <w:name w:val="next"/>
    <w:basedOn w:val="9"/>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 Name</Company>
  <Pages>3</Pages>
  <Words>401</Words>
  <Characters>2286</Characters>
  <Lines>19</Lines>
  <Paragraphs>5</Paragraphs>
  <TotalTime>0</TotalTime>
  <ScaleCrop>false</ScaleCrop>
  <LinksUpToDate>false</LinksUpToDate>
  <CharactersWithSpaces>2682</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2016-08-30T07:59:00Z</dcterms:created>
  <dc:creator>f01515</dc:creator>
  <cp:lastModifiedBy>Administrator</cp:lastModifiedBy>
  <dcterms:modified xsi:type="dcterms:W3CDTF">2017-10-07T23:56:00Z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